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B42" w:rsidRPr="00443E97" w:rsidRDefault="00CE6B42" w:rsidP="00CE6B42">
      <w:pPr>
        <w:pBdr>
          <w:top w:val="single" w:sz="6" w:space="0" w:color="auto"/>
          <w:left w:val="single" w:sz="6" w:space="1" w:color="auto"/>
          <w:bottom w:val="single" w:sz="6" w:space="0" w:color="auto"/>
          <w:right w:val="single" w:sz="6" w:space="1" w:color="auto"/>
        </w:pBdr>
        <w:jc w:val="center"/>
        <w:rPr>
          <w:rFonts w:ascii="Rockwell Extra Bold" w:hAnsi="Rockwell Extra Bold"/>
          <w:b/>
          <w:iCs/>
          <w:sz w:val="40"/>
          <w:szCs w:val="40"/>
        </w:rPr>
      </w:pPr>
      <w:r>
        <w:rPr>
          <w:rFonts w:ascii="Rockwell Extra Bold" w:hAnsi="Rockwell Extra Bold"/>
          <w:b/>
          <w:iCs/>
          <w:sz w:val="40"/>
          <w:szCs w:val="40"/>
        </w:rPr>
        <w:t>IIe Concile de Constantinople (553)</w:t>
      </w:r>
    </w:p>
    <w:p w:rsidR="003B4686" w:rsidRPr="00F021BA" w:rsidRDefault="003B4686" w:rsidP="003B4686">
      <w:pPr>
        <w:jc w:val="both"/>
        <w:rPr>
          <w:sz w:val="20"/>
          <w:szCs w:val="20"/>
        </w:rPr>
      </w:pPr>
    </w:p>
    <w:p w:rsidR="003B4686" w:rsidRPr="00F021BA" w:rsidRDefault="003B4686" w:rsidP="003B4686">
      <w:pPr>
        <w:jc w:val="both"/>
        <w:rPr>
          <w:sz w:val="20"/>
          <w:szCs w:val="20"/>
        </w:rPr>
      </w:pPr>
      <w:r w:rsidRPr="00F021BA">
        <w:rPr>
          <w:sz w:val="20"/>
          <w:szCs w:val="20"/>
        </w:rPr>
        <w:t>Mouvement de balancier des conciles christologiques :</w:t>
      </w:r>
    </w:p>
    <w:p w:rsidR="003B4686" w:rsidRPr="00F021BA" w:rsidRDefault="003B4686" w:rsidP="003B4686">
      <w:pPr>
        <w:jc w:val="both"/>
        <w:rPr>
          <w:sz w:val="20"/>
          <w:szCs w:val="20"/>
        </w:rPr>
      </w:pPr>
      <w:r w:rsidRPr="00F021BA">
        <w:rPr>
          <w:sz w:val="20"/>
          <w:szCs w:val="20"/>
        </w:rPr>
        <w:sym w:font="Wingdings 2" w:char="F0A0"/>
      </w:r>
      <w:r w:rsidRPr="00F021BA">
        <w:rPr>
          <w:sz w:val="20"/>
          <w:szCs w:val="20"/>
        </w:rPr>
        <w:t xml:space="preserve"> Éphèse (431) : accent sur l’unité du Christ.</w:t>
      </w:r>
    </w:p>
    <w:p w:rsidR="003B4686" w:rsidRPr="00F021BA" w:rsidRDefault="003B4686" w:rsidP="003B4686">
      <w:pPr>
        <w:jc w:val="both"/>
        <w:rPr>
          <w:sz w:val="20"/>
          <w:szCs w:val="20"/>
        </w:rPr>
      </w:pPr>
      <w:r w:rsidRPr="00F021BA">
        <w:rPr>
          <w:sz w:val="20"/>
          <w:szCs w:val="20"/>
        </w:rPr>
        <w:sym w:font="Wingdings 2" w:char="F0A0"/>
      </w:r>
      <w:r w:rsidRPr="00F021BA">
        <w:rPr>
          <w:sz w:val="20"/>
          <w:szCs w:val="20"/>
        </w:rPr>
        <w:t xml:space="preserve"> Chalcédoine (451) : distinction des natures.</w:t>
      </w:r>
    </w:p>
    <w:p w:rsidR="003B4686" w:rsidRPr="00F021BA" w:rsidRDefault="003B4686" w:rsidP="003B4686">
      <w:pPr>
        <w:jc w:val="both"/>
        <w:rPr>
          <w:sz w:val="20"/>
          <w:szCs w:val="20"/>
        </w:rPr>
      </w:pPr>
      <w:r w:rsidRPr="00F021BA">
        <w:rPr>
          <w:sz w:val="20"/>
          <w:szCs w:val="20"/>
        </w:rPr>
        <w:sym w:font="Wingdings 2" w:char="F0A0"/>
      </w:r>
      <w:r w:rsidRPr="00F021BA">
        <w:rPr>
          <w:sz w:val="20"/>
          <w:szCs w:val="20"/>
        </w:rPr>
        <w:t xml:space="preserve"> Constantinople II (553) : accent sur l’unité.</w:t>
      </w:r>
    </w:p>
    <w:p w:rsidR="003B4686" w:rsidRPr="00F021BA" w:rsidRDefault="003B4686" w:rsidP="003B4686">
      <w:pPr>
        <w:jc w:val="both"/>
        <w:rPr>
          <w:sz w:val="20"/>
          <w:szCs w:val="20"/>
        </w:rPr>
      </w:pPr>
      <w:r w:rsidRPr="00F021BA">
        <w:rPr>
          <w:sz w:val="20"/>
          <w:szCs w:val="20"/>
        </w:rPr>
        <w:sym w:font="Wingdings 2" w:char="F0A0"/>
      </w:r>
      <w:r w:rsidRPr="00F021BA">
        <w:rPr>
          <w:sz w:val="20"/>
          <w:szCs w:val="20"/>
        </w:rPr>
        <w:t xml:space="preserve"> Constantinople III (680-681) : accent sur la distinction.</w:t>
      </w:r>
    </w:p>
    <w:p w:rsidR="003B4686" w:rsidRDefault="003B4686" w:rsidP="003B4686">
      <w:pPr>
        <w:jc w:val="both"/>
      </w:pPr>
    </w:p>
    <w:p w:rsidR="003B4686" w:rsidRDefault="003B4686" w:rsidP="003B4686">
      <w:pPr>
        <w:rPr>
          <w:b/>
          <w:sz w:val="32"/>
          <w:szCs w:val="32"/>
        </w:rPr>
      </w:pPr>
      <w:r>
        <w:rPr>
          <w:b/>
          <w:sz w:val="32"/>
          <w:szCs w:val="32"/>
        </w:rPr>
        <w:t>1</w:t>
      </w:r>
      <w:r w:rsidRPr="002F2B0F">
        <w:rPr>
          <w:b/>
          <w:sz w:val="32"/>
          <w:szCs w:val="32"/>
        </w:rPr>
        <w:t xml:space="preserve">. </w:t>
      </w:r>
      <w:r>
        <w:rPr>
          <w:b/>
          <w:sz w:val="32"/>
          <w:szCs w:val="32"/>
        </w:rPr>
        <w:t>L’empereur Justinien (482-565)</w:t>
      </w:r>
    </w:p>
    <w:p w:rsidR="003B4686" w:rsidRDefault="003B4686" w:rsidP="003B4686">
      <w:pPr>
        <w:jc w:val="both"/>
      </w:pPr>
      <w:r>
        <w:sym w:font="Wingdings 2" w:char="F0A1"/>
      </w:r>
      <w:r>
        <w:t xml:space="preserve"> Trois domaines d’action (Pierre Maraval) :</w:t>
      </w:r>
    </w:p>
    <w:p w:rsidR="003B4686" w:rsidRPr="00F021BA" w:rsidRDefault="003B4686" w:rsidP="003B4686">
      <w:pPr>
        <w:jc w:val="both"/>
        <w:rPr>
          <w:sz w:val="22"/>
          <w:szCs w:val="22"/>
        </w:rPr>
      </w:pPr>
      <w:r w:rsidRPr="00F021BA">
        <w:rPr>
          <w:sz w:val="22"/>
          <w:szCs w:val="22"/>
        </w:rPr>
        <w:sym w:font="Wingdings 2" w:char="F0A0"/>
      </w:r>
      <w:r w:rsidRPr="00F021BA">
        <w:rPr>
          <w:sz w:val="22"/>
          <w:szCs w:val="22"/>
        </w:rPr>
        <w:t xml:space="preserve"> Domaine juridique : le « Code justinien ».</w:t>
      </w:r>
    </w:p>
    <w:p w:rsidR="003B4686" w:rsidRPr="00F021BA" w:rsidRDefault="003B4686" w:rsidP="003B4686">
      <w:pPr>
        <w:jc w:val="both"/>
        <w:rPr>
          <w:sz w:val="22"/>
          <w:szCs w:val="22"/>
        </w:rPr>
      </w:pPr>
      <w:r w:rsidRPr="00F021BA">
        <w:rPr>
          <w:sz w:val="22"/>
          <w:szCs w:val="22"/>
        </w:rPr>
        <w:sym w:font="Wingdings 2" w:char="F0A0"/>
      </w:r>
      <w:r w:rsidRPr="00F021BA">
        <w:rPr>
          <w:sz w:val="22"/>
          <w:szCs w:val="22"/>
        </w:rPr>
        <w:t xml:space="preserve"> Domaine politique : le mirage du rétablissement de l’empire romain.</w:t>
      </w:r>
    </w:p>
    <w:p w:rsidR="003B4686" w:rsidRPr="00F021BA" w:rsidRDefault="003B4686" w:rsidP="003B4686">
      <w:pPr>
        <w:jc w:val="both"/>
        <w:rPr>
          <w:sz w:val="22"/>
          <w:szCs w:val="22"/>
        </w:rPr>
      </w:pPr>
      <w:r w:rsidRPr="00F021BA">
        <w:rPr>
          <w:sz w:val="22"/>
          <w:szCs w:val="22"/>
        </w:rPr>
        <w:sym w:font="Wingdings 2" w:char="F0A0"/>
      </w:r>
      <w:r w:rsidRPr="00F021BA">
        <w:rPr>
          <w:sz w:val="22"/>
          <w:szCs w:val="22"/>
        </w:rPr>
        <w:t xml:space="preserve"> Domaine théologique : un empereur théologien, dans une perspective théocratique.</w:t>
      </w:r>
    </w:p>
    <w:p w:rsidR="003B4686" w:rsidRPr="00F021BA" w:rsidRDefault="003B4686" w:rsidP="003B4686">
      <w:pPr>
        <w:jc w:val="both"/>
        <w:rPr>
          <w:sz w:val="22"/>
          <w:szCs w:val="22"/>
        </w:rPr>
      </w:pPr>
    </w:p>
    <w:p w:rsidR="003B4686" w:rsidRDefault="003B4686" w:rsidP="003B4686">
      <w:pPr>
        <w:jc w:val="both"/>
      </w:pPr>
      <w:r>
        <w:sym w:font="Wingdings 2" w:char="F0A1"/>
      </w:r>
      <w:r>
        <w:t xml:space="preserve"> Un combat théologique qui se déploie dans deux directions :</w:t>
      </w:r>
    </w:p>
    <w:p w:rsidR="003B4686" w:rsidRDefault="003B4686" w:rsidP="003B4686">
      <w:pPr>
        <w:jc w:val="both"/>
      </w:pPr>
      <w:r>
        <w:sym w:font="Wingdings 2" w:char="F0A0"/>
      </w:r>
      <w:r>
        <w:t xml:space="preserve"> Lutte</w:t>
      </w:r>
      <w:r w:rsidR="00F021BA">
        <w:t xml:space="preserve"> contre</w:t>
      </w:r>
      <w:r>
        <w:t xml:space="preserve"> </w:t>
      </w:r>
      <w:r w:rsidRPr="00BA49AD">
        <w:rPr>
          <w:i/>
        </w:rPr>
        <w:t>l’</w:t>
      </w:r>
      <w:proofErr w:type="spellStart"/>
      <w:r w:rsidRPr="00BA49AD">
        <w:rPr>
          <w:i/>
        </w:rPr>
        <w:t>origénisme</w:t>
      </w:r>
      <w:proofErr w:type="spellEnd"/>
      <w:r>
        <w:t>, théorie défendue par des moines qui prétendaient être fidèles à la doctrine d’Origène (185-253), plus philosophes que mystiques.</w:t>
      </w:r>
    </w:p>
    <w:p w:rsidR="003B4686" w:rsidRPr="003B5379" w:rsidRDefault="003B4686" w:rsidP="003B4686">
      <w:pPr>
        <w:jc w:val="both"/>
      </w:pPr>
      <w:r>
        <w:sym w:font="Wingdings 2" w:char="F0A0"/>
      </w:r>
      <w:r>
        <w:t xml:space="preserve"> Tentatives de ralliement des monophysites, qui n’ont pas accepté Chalcédoine, dans l’intention « de proposer une interprétation de Chalcédoine qui mette en lumière l’accord de ce concile avec la doctrine de Cyrille, et même de souligner la conciliation possible du langage entre l’un et l’autre</w:t>
      </w:r>
      <w:r>
        <w:rPr>
          <w:rStyle w:val="Appelnotedebasdep"/>
        </w:rPr>
        <w:footnoteReference w:id="1"/>
      </w:r>
      <w:r>
        <w:t> »</w:t>
      </w:r>
      <w:r w:rsidR="003B5379">
        <w:t xml:space="preserve"> : théologie dite </w:t>
      </w:r>
      <w:proofErr w:type="spellStart"/>
      <w:r w:rsidR="003B5379">
        <w:rPr>
          <w:i/>
        </w:rPr>
        <w:t>néochalcédonienne</w:t>
      </w:r>
      <w:proofErr w:type="spellEnd"/>
      <w:r w:rsidR="003B5379">
        <w:t>.</w:t>
      </w:r>
    </w:p>
    <w:p w:rsidR="003B5379" w:rsidRPr="00F021BA" w:rsidRDefault="003B5379" w:rsidP="00F021BA">
      <w:pPr>
        <w:ind w:left="708"/>
        <w:jc w:val="both"/>
        <w:rPr>
          <w:sz w:val="22"/>
          <w:szCs w:val="22"/>
        </w:rPr>
      </w:pPr>
      <w:r w:rsidRPr="00F021BA">
        <w:rPr>
          <w:sz w:val="22"/>
          <w:szCs w:val="22"/>
        </w:rPr>
        <w:t xml:space="preserve">Puis </w:t>
      </w:r>
      <w:r w:rsidR="003B4686" w:rsidRPr="00F021BA">
        <w:rPr>
          <w:i/>
          <w:sz w:val="22"/>
          <w:szCs w:val="22"/>
        </w:rPr>
        <w:t>recherche d’adversaires communs</w:t>
      </w:r>
      <w:r w:rsidR="003B4686" w:rsidRPr="00F021BA">
        <w:rPr>
          <w:sz w:val="22"/>
          <w:szCs w:val="22"/>
        </w:rPr>
        <w:t xml:space="preserve"> à condamner</w:t>
      </w:r>
      <w:r w:rsidR="00F021BA">
        <w:rPr>
          <w:sz w:val="22"/>
          <w:szCs w:val="22"/>
        </w:rPr>
        <w:t xml:space="preserve"> : </w:t>
      </w:r>
      <w:r w:rsidR="003B4686" w:rsidRPr="00F021BA">
        <w:rPr>
          <w:sz w:val="22"/>
          <w:szCs w:val="22"/>
        </w:rPr>
        <w:t>affaire dite des « Trois Chapitres »</w:t>
      </w:r>
      <w:r w:rsidRPr="00F021BA">
        <w:rPr>
          <w:sz w:val="22"/>
          <w:szCs w:val="22"/>
        </w:rPr>
        <w:t xml:space="preserve">, c’est-à-dire </w:t>
      </w:r>
      <w:r w:rsidR="003B4686" w:rsidRPr="00F021BA">
        <w:rPr>
          <w:sz w:val="22"/>
          <w:szCs w:val="22"/>
        </w:rPr>
        <w:t xml:space="preserve">trois théologiens de l’École d’Antioche </w:t>
      </w:r>
      <w:r w:rsidRPr="00F021BA">
        <w:rPr>
          <w:sz w:val="22"/>
          <w:szCs w:val="22"/>
        </w:rPr>
        <w:t>soupçonnés de nestorianisme par les monophysites</w:t>
      </w:r>
      <w:r w:rsidR="00892567">
        <w:rPr>
          <w:sz w:val="22"/>
          <w:szCs w:val="22"/>
        </w:rPr>
        <w:t xml:space="preserve"> – Théodore </w:t>
      </w:r>
      <w:r w:rsidR="003B4686" w:rsidRPr="00F021BA">
        <w:rPr>
          <w:sz w:val="22"/>
          <w:szCs w:val="22"/>
        </w:rPr>
        <w:t xml:space="preserve">de </w:t>
      </w:r>
      <w:proofErr w:type="spellStart"/>
      <w:r w:rsidR="003B4686" w:rsidRPr="00F021BA">
        <w:rPr>
          <w:sz w:val="22"/>
          <w:szCs w:val="22"/>
        </w:rPr>
        <w:t>Mopsueste</w:t>
      </w:r>
      <w:proofErr w:type="spellEnd"/>
      <w:r w:rsidR="003B4686" w:rsidRPr="00F021BA">
        <w:rPr>
          <w:sz w:val="22"/>
          <w:szCs w:val="22"/>
        </w:rPr>
        <w:t xml:space="preserve"> (maître de Nestorius), </w:t>
      </w:r>
      <w:proofErr w:type="spellStart"/>
      <w:r w:rsidR="003B4686" w:rsidRPr="00F021BA">
        <w:rPr>
          <w:sz w:val="22"/>
          <w:szCs w:val="22"/>
        </w:rPr>
        <w:t>Théodoret</w:t>
      </w:r>
      <w:proofErr w:type="spellEnd"/>
      <w:r w:rsidR="003B4686" w:rsidRPr="00F021BA">
        <w:rPr>
          <w:sz w:val="22"/>
          <w:szCs w:val="22"/>
        </w:rPr>
        <w:t xml:space="preserve"> de Cyr</w:t>
      </w:r>
      <w:r w:rsidR="00892567">
        <w:rPr>
          <w:sz w:val="22"/>
          <w:szCs w:val="22"/>
        </w:rPr>
        <w:t xml:space="preserve">, </w:t>
      </w:r>
      <w:proofErr w:type="spellStart"/>
      <w:r w:rsidR="003B4686" w:rsidRPr="00F021BA">
        <w:rPr>
          <w:sz w:val="22"/>
          <w:szCs w:val="22"/>
        </w:rPr>
        <w:t>Ibas</w:t>
      </w:r>
      <w:proofErr w:type="spellEnd"/>
      <w:r w:rsidR="003B4686" w:rsidRPr="00F021BA">
        <w:rPr>
          <w:sz w:val="22"/>
          <w:szCs w:val="22"/>
        </w:rPr>
        <w:t xml:space="preserve"> d’Édesse. </w:t>
      </w:r>
    </w:p>
    <w:p w:rsidR="003B5379" w:rsidRDefault="003B5379" w:rsidP="003B4686">
      <w:pPr>
        <w:jc w:val="both"/>
      </w:pPr>
      <w:r>
        <w:t xml:space="preserve">Attitude violente envers le </w:t>
      </w:r>
      <w:r w:rsidR="003B4686">
        <w:t>pape Vigile, qu</w:t>
      </w:r>
      <w:r>
        <w:t>’on enlève de</w:t>
      </w:r>
      <w:r w:rsidR="003B4686">
        <w:t xml:space="preserve"> Rome et condui</w:t>
      </w:r>
      <w:r>
        <w:t>t</w:t>
      </w:r>
      <w:r w:rsidR="003B4686">
        <w:t xml:space="preserve"> à Constantinople</w:t>
      </w:r>
      <w:r>
        <w:t>.</w:t>
      </w:r>
    </w:p>
    <w:p w:rsidR="003B5379" w:rsidRDefault="003B5379" w:rsidP="003B4686">
      <w:pPr>
        <w:jc w:val="both"/>
      </w:pPr>
    </w:p>
    <w:p w:rsidR="003B5379" w:rsidRDefault="003B5379" w:rsidP="003B5379">
      <w:pPr>
        <w:rPr>
          <w:b/>
          <w:sz w:val="32"/>
          <w:szCs w:val="32"/>
        </w:rPr>
      </w:pPr>
      <w:r>
        <w:rPr>
          <w:b/>
          <w:sz w:val="32"/>
          <w:szCs w:val="32"/>
        </w:rPr>
        <w:t>2</w:t>
      </w:r>
      <w:r w:rsidRPr="002F2B0F">
        <w:rPr>
          <w:b/>
          <w:sz w:val="32"/>
          <w:szCs w:val="32"/>
        </w:rPr>
        <w:t xml:space="preserve">. </w:t>
      </w:r>
      <w:r>
        <w:rPr>
          <w:b/>
          <w:sz w:val="32"/>
          <w:szCs w:val="32"/>
        </w:rPr>
        <w:t>Le concile de Constantinople II (553)</w:t>
      </w:r>
    </w:p>
    <w:p w:rsidR="00F021BA" w:rsidRDefault="003B4686" w:rsidP="003B4686">
      <w:pPr>
        <w:jc w:val="both"/>
      </w:pPr>
      <w:r>
        <w:sym w:font="Wingdings 2" w:char="F0A1"/>
      </w:r>
      <w:r>
        <w:t xml:space="preserve"> </w:t>
      </w:r>
      <w:r w:rsidR="00F021BA">
        <w:t>Trois éléments majeurs :</w:t>
      </w:r>
    </w:p>
    <w:p w:rsidR="003B5379" w:rsidRPr="003B5379" w:rsidRDefault="00F021BA" w:rsidP="003B4686">
      <w:pPr>
        <w:jc w:val="both"/>
      </w:pPr>
      <w:r>
        <w:sym w:font="Wingdings 2" w:char="F0A0"/>
      </w:r>
      <w:r>
        <w:t xml:space="preserve"> </w:t>
      </w:r>
      <w:r w:rsidR="003B5379">
        <w:t xml:space="preserve">Condamnation des « Trois chapitres » et du pape lui-même, mais approbation </w:t>
      </w:r>
      <w:r w:rsidR="003B5379">
        <w:rPr>
          <w:i/>
        </w:rPr>
        <w:t>a posteriori</w:t>
      </w:r>
      <w:r w:rsidR="003B5379">
        <w:t xml:space="preserve"> par le pape Pélage, ce qui fait du concile un concile œcuménique.</w:t>
      </w:r>
    </w:p>
    <w:p w:rsidR="003B4686" w:rsidRDefault="003B4686" w:rsidP="003B4686">
      <w:pPr>
        <w:ind w:left="708"/>
        <w:jc w:val="both"/>
        <w:rPr>
          <w:sz w:val="22"/>
          <w:szCs w:val="22"/>
        </w:rPr>
      </w:pPr>
      <w:r w:rsidRPr="00B51C66">
        <w:rPr>
          <w:sz w:val="22"/>
          <w:szCs w:val="22"/>
        </w:rPr>
        <w:t xml:space="preserve">Ce concile, docile aux ordres impériaux, tenu sans l’Occident et sans l’aveu du pape, n’a été reconnu qu’assez lentement et difficilement par la tradition comme le cinquième concile œcuménique. [Cependant] le bilan est plus nuancé qu’il n’y paraît. Le langage de Chalcédoine est totalement [repris] », et le langage </w:t>
      </w:r>
      <w:r w:rsidRPr="00B51C66">
        <w:rPr>
          <w:sz w:val="22"/>
          <w:szCs w:val="22"/>
        </w:rPr>
        <w:lastRenderedPageBreak/>
        <w:t>de Cyrille est réinterprété dans un sens compatible avec Chalcédoine : « En cela, le concile de Constantinople II s’inscrit dans la ligne des précédents</w:t>
      </w:r>
      <w:r w:rsidRPr="00B51C66">
        <w:rPr>
          <w:rStyle w:val="Appelnotedebasdep"/>
          <w:sz w:val="22"/>
          <w:szCs w:val="22"/>
        </w:rPr>
        <w:footnoteReference w:id="2"/>
      </w:r>
      <w:r w:rsidRPr="00B51C66">
        <w:rPr>
          <w:sz w:val="22"/>
          <w:szCs w:val="22"/>
        </w:rPr>
        <w:t>.</w:t>
      </w:r>
    </w:p>
    <w:p w:rsidR="003B4686" w:rsidRDefault="00F021BA" w:rsidP="003B4686">
      <w:pPr>
        <w:jc w:val="both"/>
      </w:pPr>
      <w:r>
        <w:sym w:font="Wingdings 2" w:char="F0A0"/>
      </w:r>
      <w:r>
        <w:t xml:space="preserve"> </w:t>
      </w:r>
      <w:r w:rsidR="003B5379">
        <w:t xml:space="preserve">Multiplication des </w:t>
      </w:r>
      <w:r w:rsidR="003B4686">
        <w:t>mises au point pour relier Chalcédoine à Éphèse :</w:t>
      </w:r>
    </w:p>
    <w:p w:rsidR="003B4686" w:rsidRPr="003B5379" w:rsidRDefault="003B4686" w:rsidP="003B4686">
      <w:pPr>
        <w:ind w:left="708"/>
        <w:jc w:val="both"/>
        <w:rPr>
          <w:sz w:val="22"/>
          <w:szCs w:val="22"/>
        </w:rPr>
      </w:pPr>
      <w:r w:rsidRPr="003B5379">
        <w:rPr>
          <w:sz w:val="22"/>
          <w:szCs w:val="22"/>
        </w:rPr>
        <w:t xml:space="preserve">Le concile rappelle donc que l’expression « une hypostase » signifie une unité rigoureuse de </w:t>
      </w:r>
      <w:proofErr w:type="spellStart"/>
      <w:r w:rsidRPr="003B5379">
        <w:rPr>
          <w:sz w:val="22"/>
          <w:szCs w:val="22"/>
        </w:rPr>
        <w:t>subsistence</w:t>
      </w:r>
      <w:proofErr w:type="spellEnd"/>
      <w:r w:rsidRPr="003B5379">
        <w:rPr>
          <w:sz w:val="22"/>
          <w:szCs w:val="22"/>
        </w:rPr>
        <w:t xml:space="preserve"> (canon 5). Il souligne la portée exacte du titre de Marie, Mère de Dieu : Marie est la Mère du Dieu Verbe qui s’est incarné en elle (canon 6). Il commente alors avec précision l’expression « en deux natures » (canon 7). Celle-ci a pour but de signifier la différence maintenue des natures du Christ, puisque ces dernières s’unissent sans se confondre et sans cesser d’être ce qu’elles sont par elles-mêmes. Le Verbe ne s’est pas changé en chair, ni la chair dans la nature du Verbe. Mais elle n’entend affirmer aucune division ou séparation des natures, puisqu’on doit reconnaître en elles un seul Christ (…) : on les énumère simplement en fonction de leur altérité, [mais dans] leur existence concrète (…) elles ne sont qu’une seule réalité subsistante</w:t>
      </w:r>
      <w:r w:rsidRPr="003B5379">
        <w:rPr>
          <w:rStyle w:val="Appelnotedebasdep"/>
          <w:sz w:val="22"/>
          <w:szCs w:val="22"/>
        </w:rPr>
        <w:footnoteReference w:id="3"/>
      </w:r>
      <w:r w:rsidRPr="003B5379">
        <w:rPr>
          <w:sz w:val="22"/>
          <w:szCs w:val="22"/>
        </w:rPr>
        <w:t>.</w:t>
      </w:r>
    </w:p>
    <w:p w:rsidR="003B4686" w:rsidRDefault="00F021BA" w:rsidP="003B4686">
      <w:pPr>
        <w:jc w:val="both"/>
      </w:pPr>
      <w:r>
        <w:sym w:font="Wingdings 2" w:char="F0A0"/>
      </w:r>
      <w:r>
        <w:t xml:space="preserve"> </w:t>
      </w:r>
      <w:r w:rsidR="003B5379">
        <w:t xml:space="preserve">Pratique des « appropriations » : on rapporte (approprie) à la personne du Verbe tout e que le Christ a vécu dans son humanité. Il est légitime de dire que </w:t>
      </w:r>
      <w:r w:rsidR="003B4686">
        <w:t>« </w:t>
      </w:r>
      <w:r w:rsidR="003B4686">
        <w:rPr>
          <w:i/>
        </w:rPr>
        <w:t>un de la Trinité a souffert dans la chair</w:t>
      </w:r>
      <w:r w:rsidR="003B4686">
        <w:t> »</w:t>
      </w:r>
      <w:r>
        <w:t xml:space="preserve"> (cf. canon 10). C’est un </w:t>
      </w:r>
      <w:r w:rsidR="003B4686">
        <w:t>développement intéressant par rapport au concile de Chalcédoine, qui ne faisait aucune allusion à la passion de Jésus.</w:t>
      </w:r>
    </w:p>
    <w:p w:rsidR="003B4686" w:rsidRDefault="003B4686" w:rsidP="003B4686">
      <w:pPr>
        <w:jc w:val="both"/>
      </w:pPr>
    </w:p>
    <w:p w:rsidR="00F021BA" w:rsidRDefault="00F021BA" w:rsidP="003B4686">
      <w:pPr>
        <w:jc w:val="both"/>
      </w:pPr>
      <w:r>
        <w:sym w:font="Wingdings 2" w:char="F0A1"/>
      </w:r>
      <w:r>
        <w:t xml:space="preserve"> </w:t>
      </w:r>
      <w:r w:rsidR="003B4686">
        <w:t>Malgré ces précisions,</w:t>
      </w:r>
      <w:r>
        <w:t xml:space="preserve"> </w:t>
      </w:r>
      <w:r w:rsidR="003B4686">
        <w:t>les monophysites</w:t>
      </w:r>
      <w:r>
        <w:t xml:space="preserve"> </w:t>
      </w:r>
      <w:r w:rsidR="003B4686">
        <w:t>ne désarmeront pas.</w:t>
      </w:r>
    </w:p>
    <w:p w:rsidR="00F021BA" w:rsidRDefault="00F021BA" w:rsidP="003B4686">
      <w:pPr>
        <w:jc w:val="both"/>
      </w:pPr>
      <w:r>
        <w:sym w:font="Wingdings 2" w:char="F0A0"/>
      </w:r>
      <w:r>
        <w:t xml:space="preserve"> </w:t>
      </w:r>
      <w:r w:rsidR="003B4686" w:rsidRPr="00F021BA">
        <w:t>Sévère d’Antioche</w:t>
      </w:r>
      <w:r w:rsidR="003B4686">
        <w:t xml:space="preserve"> (465-538)</w:t>
      </w:r>
      <w:r>
        <w:t xml:space="preserve"> est devenu le « père fondateur » de ces Églises.</w:t>
      </w:r>
    </w:p>
    <w:p w:rsidR="003B4686" w:rsidRPr="00F021BA" w:rsidRDefault="003B4686" w:rsidP="003B4686">
      <w:pPr>
        <w:ind w:left="708"/>
        <w:jc w:val="both"/>
        <w:rPr>
          <w:sz w:val="22"/>
          <w:szCs w:val="22"/>
        </w:rPr>
      </w:pPr>
      <w:r w:rsidRPr="00F021BA">
        <w:rPr>
          <w:sz w:val="22"/>
          <w:szCs w:val="22"/>
        </w:rPr>
        <w:t>Sévère d’Antioche n’a pas seulement rétabli la situation de son parti (…) ; il lui a donné un équipement doctrinal, a fixé sa théologie : on peut dire que le monophysisme historique, celui qui va finalement se perpétuer jusqu’à nos jours, est le monophysisme sévérien</w:t>
      </w:r>
      <w:r w:rsidRPr="00F021BA">
        <w:rPr>
          <w:rStyle w:val="Appelnotedebasdep"/>
          <w:sz w:val="22"/>
          <w:szCs w:val="22"/>
        </w:rPr>
        <w:footnoteReference w:id="4"/>
      </w:r>
      <w:r w:rsidRPr="00F021BA">
        <w:rPr>
          <w:sz w:val="22"/>
          <w:szCs w:val="22"/>
        </w:rPr>
        <w:t>.</w:t>
      </w:r>
    </w:p>
    <w:p w:rsidR="003B4686" w:rsidRDefault="00F021BA" w:rsidP="003B4686">
      <w:pPr>
        <w:jc w:val="both"/>
      </w:pPr>
      <w:r>
        <w:sym w:font="Wingdings 2" w:char="F0A0"/>
      </w:r>
      <w:r>
        <w:t xml:space="preserve"> </w:t>
      </w:r>
      <w:r w:rsidR="003B4686" w:rsidRPr="00F021BA">
        <w:t>Jacques Baradée</w:t>
      </w:r>
      <w:r w:rsidR="003B4686">
        <w:t xml:space="preserve"> (505-578)</w:t>
      </w:r>
      <w:r>
        <w:t xml:space="preserve"> r</w:t>
      </w:r>
      <w:r w:rsidR="003B4686">
        <w:t>econstituera la hiérarchie des évêques monophysite</w:t>
      </w:r>
      <w:r>
        <w:t xml:space="preserve">s, posant les fondements de </w:t>
      </w:r>
      <w:r w:rsidR="003B4686">
        <w:t xml:space="preserve">l’Église </w:t>
      </w:r>
      <w:r>
        <w:t>« </w:t>
      </w:r>
      <w:r w:rsidR="003B4686">
        <w:t>jacobite</w:t>
      </w:r>
      <w:r>
        <w:t> »</w:t>
      </w:r>
      <w:r w:rsidR="003B4686">
        <w:t>.</w:t>
      </w:r>
    </w:p>
    <w:p w:rsidR="00F021BA" w:rsidRDefault="00F021BA" w:rsidP="00F021BA">
      <w:pPr>
        <w:jc w:val="both"/>
      </w:pPr>
      <w:r>
        <w:sym w:font="Wingdings 2" w:char="F0A0"/>
      </w:r>
      <w:r>
        <w:t xml:space="preserve"> Cela explique par avance les problèmes qui surgiront au siècle suivant : sans aller jusqu’à oser contester la nature humaine du Christ, on trouvera une échappatoire en affirmant que toute son « énergie », c’est-à-dire tout le dynamisme de son action, est divin. En d’autres termes, on déplacera le problème du domaine de l’être à celui de l’agir.</w:t>
      </w:r>
    </w:p>
    <w:p w:rsidR="003B4686" w:rsidRPr="00F021BA" w:rsidRDefault="003B4686" w:rsidP="003B4686">
      <w:pPr>
        <w:ind w:left="708"/>
        <w:jc w:val="both"/>
        <w:rPr>
          <w:sz w:val="22"/>
          <w:szCs w:val="22"/>
        </w:rPr>
      </w:pPr>
      <w:r w:rsidRPr="00F021BA">
        <w:rPr>
          <w:sz w:val="22"/>
          <w:szCs w:val="22"/>
        </w:rPr>
        <w:t xml:space="preserve">De façon plus profonde, et nous retrouvons là l’inspiration hautement spirituelle qui anime [les monophysites], leur pensée se développe à partir d’une contemplation du Verbe éternel ; c’est toujours sur Lui, sur sa divinité qu’on médite, lorsqu’on passe de la Trinité à l’Incarnation, du Fils de Dieu à Jésus-Christ ; de </w:t>
      </w:r>
      <w:r w:rsidRPr="00F021BA">
        <w:rPr>
          <w:sz w:val="22"/>
          <w:szCs w:val="22"/>
        </w:rPr>
        <w:lastRenderedPageBreak/>
        <w:t>celui-ci on exalte avant tout l’unité, les deux natures ne s’y distinguant qu’en vertu d’une distinction logique, non réelle</w:t>
      </w:r>
      <w:r w:rsidRPr="00F021BA">
        <w:rPr>
          <w:rStyle w:val="Appelnotedebasdep"/>
          <w:sz w:val="22"/>
          <w:szCs w:val="22"/>
        </w:rPr>
        <w:footnoteReference w:id="5"/>
      </w:r>
      <w:r w:rsidRPr="00F021BA">
        <w:rPr>
          <w:sz w:val="22"/>
          <w:szCs w:val="22"/>
        </w:rPr>
        <w:t>.</w:t>
      </w:r>
    </w:p>
    <w:p w:rsidR="003B4686" w:rsidRPr="00F021BA" w:rsidRDefault="003B4686" w:rsidP="003B4686">
      <w:pPr>
        <w:jc w:val="both"/>
        <w:rPr>
          <w:sz w:val="22"/>
          <w:szCs w:val="22"/>
        </w:rPr>
      </w:pPr>
    </w:p>
    <w:p w:rsidR="00CE6B42" w:rsidRPr="003B4686" w:rsidRDefault="003B4686" w:rsidP="00CE6B42">
      <w:pPr>
        <w:pStyle w:val="Retraitcorpsdetexte"/>
        <w:pBdr>
          <w:top w:val="single" w:sz="4" w:space="1" w:color="auto"/>
          <w:left w:val="single" w:sz="4" w:space="4" w:color="auto"/>
          <w:bottom w:val="single" w:sz="4" w:space="1" w:color="auto"/>
          <w:right w:val="single" w:sz="4" w:space="4" w:color="auto"/>
        </w:pBdr>
        <w:spacing w:after="0"/>
        <w:ind w:left="708"/>
        <w:rPr>
          <w:sz w:val="22"/>
          <w:szCs w:val="22"/>
        </w:rPr>
      </w:pPr>
      <w:r>
        <w:rPr>
          <w:sz w:val="22"/>
          <w:szCs w:val="22"/>
        </w:rPr>
        <w:t>(</w:t>
      </w:r>
      <w:r>
        <w:rPr>
          <w:i/>
          <w:sz w:val="22"/>
          <w:szCs w:val="22"/>
        </w:rPr>
        <w:t xml:space="preserve">FC </w:t>
      </w:r>
      <w:r>
        <w:rPr>
          <w:sz w:val="22"/>
          <w:szCs w:val="22"/>
        </w:rPr>
        <w:t>317-330)</w:t>
      </w:r>
    </w:p>
    <w:p w:rsidR="003B4686" w:rsidRDefault="003B4686" w:rsidP="00CE6B42">
      <w:pPr>
        <w:pStyle w:val="Retraitcorpsdetexte"/>
        <w:pBdr>
          <w:top w:val="single" w:sz="4" w:space="1" w:color="auto"/>
          <w:left w:val="single" w:sz="4" w:space="4" w:color="auto"/>
          <w:bottom w:val="single" w:sz="4" w:space="1" w:color="auto"/>
          <w:right w:val="single" w:sz="4" w:space="4" w:color="auto"/>
        </w:pBdr>
        <w:spacing w:after="0"/>
        <w:ind w:left="708"/>
        <w:rPr>
          <w:sz w:val="22"/>
          <w:szCs w:val="22"/>
        </w:rPr>
      </w:pP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sz w:val="22"/>
          <w:szCs w:val="22"/>
        </w:rPr>
      </w:pPr>
      <w:r w:rsidRPr="003F5F95">
        <w:rPr>
          <w:b/>
          <w:bCs/>
          <w:sz w:val="22"/>
          <w:szCs w:val="22"/>
        </w:rPr>
        <w:t>TRINITÉ</w:t>
      </w:r>
      <w:r>
        <w:rPr>
          <w:sz w:val="22"/>
          <w:szCs w:val="22"/>
        </w:rPr>
        <w:tab/>
      </w:r>
      <w:r>
        <w:rPr>
          <w:sz w:val="22"/>
          <w:szCs w:val="22"/>
        </w:rPr>
        <w:tab/>
      </w:r>
      <w:r>
        <w:rPr>
          <w:sz w:val="22"/>
          <w:szCs w:val="22"/>
        </w:rPr>
        <w:sym w:font="Wingdings" w:char="F0E0"/>
      </w:r>
      <w:r>
        <w:rPr>
          <w:sz w:val="22"/>
          <w:szCs w:val="22"/>
        </w:rPr>
        <w:tab/>
        <w:t>canon 1</w:t>
      </w: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b/>
          <w:bCs/>
          <w:sz w:val="20"/>
          <w:szCs w:val="20"/>
        </w:rPr>
      </w:pPr>
      <w:r>
        <w:rPr>
          <w:sz w:val="22"/>
          <w:szCs w:val="22"/>
        </w:rPr>
        <w:tab/>
      </w:r>
      <w:r>
        <w:rPr>
          <w:sz w:val="22"/>
          <w:szCs w:val="22"/>
        </w:rPr>
        <w:tab/>
      </w:r>
      <w:r>
        <w:rPr>
          <w:sz w:val="22"/>
          <w:szCs w:val="22"/>
        </w:rPr>
        <w:tab/>
      </w:r>
      <w:r>
        <w:rPr>
          <w:sz w:val="22"/>
          <w:szCs w:val="22"/>
        </w:rPr>
        <w:tab/>
      </w:r>
      <w:r>
        <w:rPr>
          <w:b/>
          <w:bCs/>
          <w:sz w:val="20"/>
          <w:szCs w:val="20"/>
        </w:rPr>
        <w:t>La vraie foi trinitaire</w:t>
      </w:r>
      <w:r w:rsidR="00F5290F">
        <w:rPr>
          <w:b/>
          <w:bCs/>
          <w:sz w:val="20"/>
          <w:szCs w:val="20"/>
        </w:rPr>
        <w:t> : « une Trinité consubstantielle »</w:t>
      </w: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b/>
          <w:bCs/>
          <w:sz w:val="22"/>
          <w:szCs w:val="22"/>
        </w:rPr>
      </w:pP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sz w:val="22"/>
          <w:szCs w:val="22"/>
        </w:rPr>
      </w:pPr>
      <w:r w:rsidRPr="003F5F95">
        <w:rPr>
          <w:b/>
          <w:bCs/>
          <w:sz w:val="22"/>
          <w:szCs w:val="22"/>
        </w:rPr>
        <w:t>CHRISTOLOGIE</w:t>
      </w:r>
      <w:r>
        <w:rPr>
          <w:sz w:val="22"/>
          <w:szCs w:val="22"/>
        </w:rPr>
        <w:tab/>
      </w:r>
      <w:r>
        <w:rPr>
          <w:sz w:val="22"/>
          <w:szCs w:val="22"/>
        </w:rPr>
        <w:sym w:font="Wingdings" w:char="F0E0"/>
      </w:r>
      <w:r>
        <w:rPr>
          <w:sz w:val="22"/>
          <w:szCs w:val="22"/>
        </w:rPr>
        <w:tab/>
        <w:t>canons 2-3-4 ; 9-10</w:t>
      </w:r>
    </w:p>
    <w:p w:rsidR="00CE6B42" w:rsidRPr="00031F3C"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b/>
          <w:bCs/>
          <w:sz w:val="20"/>
          <w:szCs w:val="20"/>
        </w:rPr>
      </w:pPr>
      <w:r w:rsidRPr="00031F3C">
        <w:rPr>
          <w:sz w:val="20"/>
          <w:szCs w:val="20"/>
        </w:rPr>
        <w:tab/>
      </w:r>
      <w:r w:rsidRPr="00031F3C">
        <w:rPr>
          <w:sz w:val="20"/>
          <w:szCs w:val="20"/>
        </w:rPr>
        <w:tab/>
      </w:r>
      <w:r w:rsidRPr="00031F3C">
        <w:rPr>
          <w:sz w:val="20"/>
          <w:szCs w:val="20"/>
        </w:rPr>
        <w:tab/>
      </w:r>
      <w:r w:rsidRPr="00031F3C">
        <w:rPr>
          <w:sz w:val="20"/>
          <w:szCs w:val="20"/>
        </w:rPr>
        <w:tab/>
      </w:r>
      <w:r w:rsidRPr="00031F3C">
        <w:rPr>
          <w:b/>
          <w:bCs/>
          <w:sz w:val="20"/>
          <w:szCs w:val="20"/>
        </w:rPr>
        <w:t>La véritable interprétation de Chalcédoine</w:t>
      </w: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b/>
          <w:bCs/>
          <w:sz w:val="20"/>
          <w:szCs w:val="20"/>
        </w:rPr>
      </w:pPr>
      <w:r w:rsidRPr="00031F3C">
        <w:rPr>
          <w:b/>
          <w:bCs/>
          <w:sz w:val="20"/>
          <w:szCs w:val="20"/>
        </w:rPr>
        <w:tab/>
      </w:r>
      <w:r w:rsidRPr="00031F3C">
        <w:rPr>
          <w:b/>
          <w:bCs/>
          <w:sz w:val="20"/>
          <w:szCs w:val="20"/>
        </w:rPr>
        <w:tab/>
      </w:r>
      <w:r w:rsidRPr="00031F3C">
        <w:rPr>
          <w:b/>
          <w:bCs/>
          <w:sz w:val="20"/>
          <w:szCs w:val="20"/>
        </w:rPr>
        <w:tab/>
      </w:r>
      <w:r w:rsidRPr="00031F3C">
        <w:rPr>
          <w:b/>
          <w:bCs/>
          <w:sz w:val="20"/>
          <w:szCs w:val="20"/>
        </w:rPr>
        <w:tab/>
        <w:t>La communication des idiomes ; son fondement (c. 4)</w:t>
      </w: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sz w:val="20"/>
          <w:szCs w:val="20"/>
        </w:rPr>
      </w:pPr>
    </w:p>
    <w:p w:rsidR="00CE6B42" w:rsidRDefault="00CE6B42" w:rsidP="00CE6B42">
      <w:pPr>
        <w:pStyle w:val="Retraitcorpsdetexte"/>
        <w:numPr>
          <w:ilvl w:val="0"/>
          <w:numId w:val="1"/>
        </w:numPr>
        <w:pBdr>
          <w:top w:val="single" w:sz="4" w:space="1" w:color="auto"/>
          <w:left w:val="single" w:sz="4" w:space="4" w:color="auto"/>
          <w:bottom w:val="single" w:sz="4" w:space="1" w:color="auto"/>
          <w:right w:val="single" w:sz="4" w:space="4" w:color="auto"/>
        </w:pBdr>
        <w:spacing w:after="0"/>
        <w:jc w:val="both"/>
        <w:rPr>
          <w:sz w:val="20"/>
          <w:szCs w:val="20"/>
        </w:rPr>
      </w:pPr>
      <w:r>
        <w:rPr>
          <w:sz w:val="20"/>
          <w:szCs w:val="20"/>
        </w:rPr>
        <w:t xml:space="preserve">Si quelqu’un ne confesse pas deux naissances du Fils de Dieu, l’une avant les siècles, du Père, intemporelle et incorporelle, l’autre aux derniers jours, de celui même qui, descendu du ciel, s’est incarné dans Marie sainte et glorieuse, mère de Dieu toujours vierge, et qui est né d’elle, </w:t>
      </w:r>
      <w:r w:rsidR="00F5290F">
        <w:rPr>
          <w:sz w:val="20"/>
          <w:szCs w:val="20"/>
        </w:rPr>
        <w:t>qu’il soit anathème.</w:t>
      </w:r>
    </w:p>
    <w:p w:rsidR="00CE6B42" w:rsidRDefault="00CE6B42" w:rsidP="00CE6B42">
      <w:pPr>
        <w:pStyle w:val="Retraitcorpsdetexte"/>
        <w:numPr>
          <w:ilvl w:val="0"/>
          <w:numId w:val="1"/>
        </w:numPr>
        <w:pBdr>
          <w:top w:val="single" w:sz="4" w:space="1" w:color="auto"/>
          <w:left w:val="single" w:sz="4" w:space="4" w:color="auto"/>
          <w:bottom w:val="single" w:sz="4" w:space="1" w:color="auto"/>
          <w:right w:val="single" w:sz="4" w:space="4" w:color="auto"/>
        </w:pBdr>
        <w:spacing w:after="0"/>
        <w:jc w:val="both"/>
        <w:rPr>
          <w:sz w:val="20"/>
          <w:szCs w:val="20"/>
        </w:rPr>
      </w:pPr>
      <w:r>
        <w:rPr>
          <w:sz w:val="20"/>
          <w:szCs w:val="20"/>
        </w:rPr>
        <w:t>Si quelqu’un dit que le Verbe de Dieu qui fit des miracles n’est pas le même que le Christ qui a souffert,</w:t>
      </w:r>
      <w:r w:rsidR="00F5290F">
        <w:rPr>
          <w:sz w:val="20"/>
          <w:szCs w:val="20"/>
        </w:rPr>
        <w:t xml:space="preserve"> (…) </w:t>
      </w:r>
      <w:r>
        <w:rPr>
          <w:sz w:val="20"/>
          <w:szCs w:val="20"/>
        </w:rPr>
        <w:t xml:space="preserve">et que ce n’est pas un seul et même notre Seigneur Jésus-Christ, Verbe de Dieu incarné et fait homme, à qui </w:t>
      </w:r>
      <w:r w:rsidRPr="00BF7306">
        <w:rPr>
          <w:i/>
          <w:iCs/>
          <w:sz w:val="20"/>
          <w:szCs w:val="20"/>
        </w:rPr>
        <w:t>appartiennent</w:t>
      </w:r>
      <w:r>
        <w:rPr>
          <w:sz w:val="20"/>
          <w:szCs w:val="20"/>
        </w:rPr>
        <w:t xml:space="preserve"> les miracles et les souffrances qu’il a volontairement endurées dans la chair, </w:t>
      </w:r>
      <w:r w:rsidR="00F5290F">
        <w:rPr>
          <w:sz w:val="20"/>
          <w:szCs w:val="20"/>
        </w:rPr>
        <w:t>qu’il soit anathème</w:t>
      </w:r>
      <w:r>
        <w:rPr>
          <w:sz w:val="20"/>
          <w:szCs w:val="20"/>
        </w:rPr>
        <w:t>.</w:t>
      </w:r>
    </w:p>
    <w:p w:rsidR="00CE6B42" w:rsidRDefault="00CE6B42" w:rsidP="00CE6B42">
      <w:pPr>
        <w:pStyle w:val="Retraitcorpsdetexte"/>
        <w:numPr>
          <w:ilvl w:val="0"/>
          <w:numId w:val="1"/>
        </w:numPr>
        <w:pBdr>
          <w:top w:val="single" w:sz="4" w:space="1" w:color="auto"/>
          <w:left w:val="single" w:sz="4" w:space="4" w:color="auto"/>
          <w:bottom w:val="single" w:sz="4" w:space="1" w:color="auto"/>
          <w:right w:val="single" w:sz="4" w:space="4" w:color="auto"/>
        </w:pBdr>
        <w:spacing w:after="0"/>
        <w:jc w:val="both"/>
        <w:rPr>
          <w:sz w:val="20"/>
          <w:szCs w:val="20"/>
        </w:rPr>
      </w:pPr>
      <w:r>
        <w:rPr>
          <w:sz w:val="20"/>
          <w:szCs w:val="20"/>
        </w:rPr>
        <w:t xml:space="preserve">Si quelqu’un … ne confesse pas que l’union du Dieu Verbe avec la chair animée par une âme raisonnable et pensante s’est réalisée </w:t>
      </w:r>
      <w:r>
        <w:rPr>
          <w:i/>
          <w:iCs/>
          <w:sz w:val="20"/>
          <w:szCs w:val="20"/>
        </w:rPr>
        <w:t xml:space="preserve">selon la composition </w:t>
      </w:r>
      <w:r w:rsidRPr="00287E8F">
        <w:rPr>
          <w:b/>
          <w:bCs/>
          <w:sz w:val="20"/>
          <w:szCs w:val="20"/>
        </w:rPr>
        <w:t>ou</w:t>
      </w:r>
      <w:r>
        <w:rPr>
          <w:sz w:val="20"/>
          <w:szCs w:val="20"/>
        </w:rPr>
        <w:t xml:space="preserve"> </w:t>
      </w:r>
      <w:r>
        <w:rPr>
          <w:i/>
          <w:iCs/>
          <w:sz w:val="20"/>
          <w:szCs w:val="20"/>
        </w:rPr>
        <w:t>selon l’hypostase</w:t>
      </w:r>
      <w:r>
        <w:rPr>
          <w:sz w:val="20"/>
          <w:szCs w:val="20"/>
        </w:rPr>
        <w:t xml:space="preserve">, </w:t>
      </w:r>
      <w:r w:rsidR="00F5290F">
        <w:rPr>
          <w:sz w:val="20"/>
          <w:szCs w:val="20"/>
        </w:rPr>
        <w:t xml:space="preserve">(…) </w:t>
      </w:r>
      <w:r>
        <w:rPr>
          <w:sz w:val="20"/>
          <w:szCs w:val="20"/>
        </w:rPr>
        <w:t>et s’il nie par conséquent qu’il n’a qu’une seule hypostase, qu</w:t>
      </w:r>
      <w:r w:rsidR="00F5290F">
        <w:rPr>
          <w:sz w:val="20"/>
          <w:szCs w:val="20"/>
        </w:rPr>
        <w:t>’il soit anathème</w:t>
      </w:r>
      <w:r>
        <w:rPr>
          <w:sz w:val="20"/>
          <w:szCs w:val="20"/>
        </w:rPr>
        <w:t>.</w:t>
      </w:r>
    </w:p>
    <w:p w:rsidR="00F5290F" w:rsidRDefault="00F5290F" w:rsidP="00CE6B42">
      <w:pPr>
        <w:pStyle w:val="Retraitcorpsdetexte"/>
        <w:numPr>
          <w:ilvl w:val="0"/>
          <w:numId w:val="1"/>
        </w:numPr>
        <w:pBdr>
          <w:top w:val="single" w:sz="4" w:space="1" w:color="auto"/>
          <w:left w:val="single" w:sz="4" w:space="4" w:color="auto"/>
          <w:bottom w:val="single" w:sz="4" w:space="1" w:color="auto"/>
          <w:right w:val="single" w:sz="4" w:space="4" w:color="auto"/>
        </w:pBdr>
        <w:spacing w:after="0"/>
        <w:jc w:val="both"/>
        <w:rPr>
          <w:sz w:val="20"/>
          <w:szCs w:val="20"/>
        </w:rPr>
      </w:pPr>
      <w:r>
        <w:rPr>
          <w:sz w:val="20"/>
          <w:szCs w:val="20"/>
        </w:rPr>
        <w:t>(Canon 10) Si quelqu’un ne confesse pas que celui qui a été crucifié dans la chair, notre Seigneur Jésus-Christ, est vrai Dieu, Seigneur de la gloire et un de la sainte trinité, qu’il soit anathème.</w:t>
      </w: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sz w:val="22"/>
          <w:szCs w:val="22"/>
        </w:rPr>
      </w:pPr>
      <w:r>
        <w:rPr>
          <w:sz w:val="22"/>
          <w:szCs w:val="22"/>
        </w:rPr>
        <w:tab/>
      </w:r>
      <w:r>
        <w:rPr>
          <w:sz w:val="22"/>
          <w:szCs w:val="22"/>
        </w:rPr>
        <w:tab/>
      </w:r>
      <w:r>
        <w:rPr>
          <w:sz w:val="22"/>
          <w:szCs w:val="22"/>
        </w:rPr>
        <w:tab/>
      </w:r>
      <w:r>
        <w:rPr>
          <w:sz w:val="22"/>
          <w:szCs w:val="22"/>
        </w:rPr>
        <w:sym w:font="Wingdings" w:char="F0E0"/>
      </w:r>
      <w:r>
        <w:rPr>
          <w:sz w:val="22"/>
          <w:szCs w:val="22"/>
        </w:rPr>
        <w:tab/>
      </w:r>
      <w:proofErr w:type="gramStart"/>
      <w:r>
        <w:rPr>
          <w:sz w:val="22"/>
          <w:szCs w:val="22"/>
        </w:rPr>
        <w:t>canons</w:t>
      </w:r>
      <w:proofErr w:type="gramEnd"/>
      <w:r>
        <w:rPr>
          <w:sz w:val="22"/>
          <w:szCs w:val="22"/>
        </w:rPr>
        <w:t xml:space="preserve"> 5-6-7-8</w:t>
      </w:r>
    </w:p>
    <w:p w:rsidR="00CE6B42" w:rsidRPr="00031F3C"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b/>
          <w:bCs/>
          <w:sz w:val="20"/>
          <w:szCs w:val="20"/>
        </w:rPr>
      </w:pPr>
      <w:r w:rsidRPr="00031F3C">
        <w:rPr>
          <w:sz w:val="20"/>
          <w:szCs w:val="20"/>
        </w:rPr>
        <w:tab/>
      </w:r>
      <w:r w:rsidRPr="00031F3C">
        <w:rPr>
          <w:sz w:val="20"/>
          <w:szCs w:val="20"/>
        </w:rPr>
        <w:tab/>
      </w:r>
      <w:r w:rsidRPr="00031F3C">
        <w:rPr>
          <w:sz w:val="20"/>
          <w:szCs w:val="20"/>
        </w:rPr>
        <w:tab/>
      </w:r>
      <w:r w:rsidRPr="00031F3C">
        <w:rPr>
          <w:sz w:val="20"/>
          <w:szCs w:val="20"/>
        </w:rPr>
        <w:tab/>
      </w:r>
      <w:r w:rsidRPr="00031F3C">
        <w:rPr>
          <w:b/>
          <w:bCs/>
          <w:sz w:val="20"/>
          <w:szCs w:val="20"/>
        </w:rPr>
        <w:t>Contre les fausses interprétations de Chalcédoine :</w:t>
      </w: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b/>
          <w:bCs/>
          <w:sz w:val="20"/>
          <w:szCs w:val="20"/>
        </w:rPr>
      </w:pPr>
      <w:r w:rsidRPr="00031F3C">
        <w:rPr>
          <w:b/>
          <w:bCs/>
          <w:sz w:val="20"/>
          <w:szCs w:val="20"/>
        </w:rPr>
        <w:tab/>
      </w:r>
      <w:r w:rsidRPr="00031F3C">
        <w:rPr>
          <w:b/>
          <w:bCs/>
          <w:sz w:val="20"/>
          <w:szCs w:val="20"/>
        </w:rPr>
        <w:tab/>
      </w:r>
      <w:r w:rsidRPr="00031F3C">
        <w:rPr>
          <w:b/>
          <w:bCs/>
          <w:sz w:val="20"/>
          <w:szCs w:val="20"/>
        </w:rPr>
        <w:tab/>
      </w:r>
      <w:r w:rsidRPr="00031F3C">
        <w:rPr>
          <w:b/>
          <w:bCs/>
          <w:sz w:val="20"/>
          <w:szCs w:val="20"/>
        </w:rPr>
        <w:tab/>
        <w:t>Nestorienne</w:t>
      </w:r>
      <w:r>
        <w:rPr>
          <w:b/>
          <w:bCs/>
          <w:sz w:val="20"/>
          <w:szCs w:val="20"/>
        </w:rPr>
        <w:t xml:space="preserve"> (c. 7)</w:t>
      </w:r>
      <w:r w:rsidRPr="00031F3C">
        <w:rPr>
          <w:b/>
          <w:bCs/>
          <w:sz w:val="20"/>
          <w:szCs w:val="20"/>
        </w:rPr>
        <w:t xml:space="preserve">, </w:t>
      </w:r>
      <w:proofErr w:type="spellStart"/>
      <w:r w:rsidRPr="00031F3C">
        <w:rPr>
          <w:b/>
          <w:bCs/>
          <w:sz w:val="20"/>
          <w:szCs w:val="20"/>
        </w:rPr>
        <w:t>eutychienne</w:t>
      </w:r>
      <w:proofErr w:type="spellEnd"/>
      <w:r w:rsidRPr="00031F3C">
        <w:rPr>
          <w:b/>
          <w:bCs/>
          <w:sz w:val="20"/>
          <w:szCs w:val="20"/>
        </w:rPr>
        <w:t xml:space="preserve"> (c. 8)</w:t>
      </w:r>
    </w:p>
    <w:p w:rsidR="00F5290F"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jc w:val="both"/>
        <w:rPr>
          <w:sz w:val="20"/>
          <w:szCs w:val="20"/>
        </w:rPr>
      </w:pPr>
      <w:r>
        <w:rPr>
          <w:sz w:val="20"/>
          <w:szCs w:val="20"/>
        </w:rPr>
        <w:t xml:space="preserve">(7) Si quelqu’un, disant : « en deux natures », ne confesse pas que notre unique Seigneur Jésus-Christ est reconnu dans la divinité et dans l’humanité, </w:t>
      </w:r>
      <w:r w:rsidR="00F5290F">
        <w:rPr>
          <w:sz w:val="20"/>
          <w:szCs w:val="20"/>
        </w:rPr>
        <w:t xml:space="preserve">(…) </w:t>
      </w:r>
      <w:r>
        <w:rPr>
          <w:sz w:val="20"/>
          <w:szCs w:val="20"/>
        </w:rPr>
        <w:t xml:space="preserve">sans confusion, sans que le Verbe soit transformé dans la nature de la chair ni que la chair soit passée dans la nature du Verbe…, </w:t>
      </w:r>
      <w:r w:rsidR="00F5290F">
        <w:rPr>
          <w:sz w:val="20"/>
          <w:szCs w:val="20"/>
        </w:rPr>
        <w:t>(…) qu’il soit anathème.</w:t>
      </w: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jc w:val="both"/>
        <w:rPr>
          <w:sz w:val="20"/>
          <w:szCs w:val="20"/>
        </w:rPr>
      </w:pPr>
      <w:r>
        <w:rPr>
          <w:sz w:val="20"/>
          <w:szCs w:val="20"/>
        </w:rPr>
        <w:t xml:space="preserve">(8) Si quelqu’un ne prend pas l’expression : « L’union s’est faite de deux natures, de la divinité et de l’humanité » </w:t>
      </w:r>
      <w:r w:rsidRPr="00287E8F">
        <w:rPr>
          <w:b/>
          <w:bCs/>
          <w:sz w:val="20"/>
          <w:szCs w:val="20"/>
        </w:rPr>
        <w:t>ou</w:t>
      </w:r>
      <w:r>
        <w:rPr>
          <w:sz w:val="20"/>
          <w:szCs w:val="20"/>
        </w:rPr>
        <w:t xml:space="preserve"> « une seule nature incarnée du Dieu Verbe » dans le sens de l’enseignement des saints Pères, </w:t>
      </w:r>
      <w:r w:rsidRPr="00287E8F">
        <w:rPr>
          <w:b/>
          <w:bCs/>
          <w:sz w:val="20"/>
          <w:szCs w:val="20"/>
        </w:rPr>
        <w:t>c’est-à-dire</w:t>
      </w:r>
      <w:r>
        <w:rPr>
          <w:sz w:val="20"/>
          <w:szCs w:val="20"/>
        </w:rPr>
        <w:t xml:space="preserve"> que, de la nature divine et de la nature humaine, l’union selon l’hypostase étant réalisée, il est résulté un </w:t>
      </w:r>
      <w:r w:rsidRPr="00D960B5">
        <w:rPr>
          <w:sz w:val="20"/>
          <w:szCs w:val="20"/>
        </w:rPr>
        <w:t>Christ ; mais si, par ces expressions, il tente d’introduire une seule nature (</w:t>
      </w:r>
      <w:r w:rsidRPr="00D960B5">
        <w:rPr>
          <w:rFonts w:ascii="Vusillus" w:hAnsi="Vusillus" w:cs="Vusillus"/>
          <w:noProof/>
          <w:sz w:val="20"/>
          <w:szCs w:val="20"/>
          <w:lang w:val="el-GR"/>
        </w:rPr>
        <w:t>φύσις</w:t>
      </w:r>
      <w:r w:rsidRPr="00D960B5">
        <w:rPr>
          <w:sz w:val="20"/>
          <w:szCs w:val="20"/>
        </w:rPr>
        <w:t xml:space="preserve">) </w:t>
      </w:r>
      <w:r w:rsidRPr="00D960B5">
        <w:rPr>
          <w:b/>
          <w:bCs/>
          <w:sz w:val="20"/>
          <w:szCs w:val="20"/>
        </w:rPr>
        <w:t>ou</w:t>
      </w:r>
      <w:r w:rsidRPr="00D960B5">
        <w:rPr>
          <w:sz w:val="20"/>
          <w:szCs w:val="20"/>
        </w:rPr>
        <w:t xml:space="preserve"> essence (</w:t>
      </w:r>
      <w:r w:rsidRPr="00D960B5">
        <w:rPr>
          <w:rFonts w:ascii="Vusillus" w:hAnsi="Vusillus" w:cs="Vusillus"/>
          <w:noProof/>
          <w:sz w:val="20"/>
          <w:szCs w:val="20"/>
          <w:lang w:val="el-GR"/>
        </w:rPr>
        <w:t>οὐσία</w:t>
      </w:r>
      <w:r w:rsidRPr="00D960B5">
        <w:rPr>
          <w:sz w:val="20"/>
          <w:szCs w:val="20"/>
        </w:rPr>
        <w:t>) de la divin</w:t>
      </w:r>
      <w:r>
        <w:rPr>
          <w:sz w:val="20"/>
          <w:szCs w:val="20"/>
        </w:rPr>
        <w:t xml:space="preserve">ité et de la chair du Christ, </w:t>
      </w:r>
      <w:proofErr w:type="spellStart"/>
      <w:r>
        <w:rPr>
          <w:sz w:val="20"/>
          <w:szCs w:val="20"/>
        </w:rPr>
        <w:t>a.s</w:t>
      </w:r>
      <w:proofErr w:type="spellEnd"/>
      <w:r>
        <w:rPr>
          <w:sz w:val="20"/>
          <w:szCs w:val="20"/>
        </w:rPr>
        <w:t>.</w:t>
      </w:r>
    </w:p>
    <w:p w:rsidR="00CE6B42" w:rsidRPr="00D960B5"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jc w:val="both"/>
        <w:rPr>
          <w:sz w:val="20"/>
          <w:szCs w:val="20"/>
        </w:rPr>
      </w:pPr>
      <w:r>
        <w:rPr>
          <w:b/>
          <w:bCs/>
          <w:sz w:val="20"/>
          <w:szCs w:val="20"/>
        </w:rPr>
        <w:t>Car</w:t>
      </w:r>
      <w:r>
        <w:rPr>
          <w:sz w:val="20"/>
          <w:szCs w:val="20"/>
        </w:rPr>
        <w:t xml:space="preserve">, en parlant de l’union selon l’hypostase du Verbe Fils unique, nous ne disons pas qu’il se soit produit une </w:t>
      </w:r>
      <w:r>
        <w:rPr>
          <w:i/>
          <w:iCs/>
          <w:sz w:val="20"/>
          <w:szCs w:val="20"/>
        </w:rPr>
        <w:t>confusion</w:t>
      </w:r>
      <w:r>
        <w:rPr>
          <w:sz w:val="20"/>
          <w:szCs w:val="20"/>
        </w:rPr>
        <w:t xml:space="preserve"> quelconque des natures ; nous pensons plutôt que le Verbe s’est uni à la chair, chacune des natures demeurant ce qu’elle était…</w:t>
      </w: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i/>
          <w:iCs/>
          <w:sz w:val="22"/>
          <w:szCs w:val="22"/>
        </w:rPr>
      </w:pPr>
    </w:p>
    <w:p w:rsidR="00CE6B42" w:rsidRDefault="00CE6B42" w:rsidP="00CE6B42">
      <w:pPr>
        <w:pStyle w:val="Retraitcorpsdetexte"/>
        <w:pBdr>
          <w:top w:val="single" w:sz="4" w:space="1" w:color="auto"/>
          <w:left w:val="single" w:sz="4" w:space="4" w:color="auto"/>
          <w:bottom w:val="single" w:sz="4" w:space="1" w:color="auto"/>
          <w:right w:val="single" w:sz="4" w:space="4" w:color="auto"/>
        </w:pBdr>
        <w:spacing w:after="0"/>
        <w:ind w:left="708"/>
        <w:rPr>
          <w:sz w:val="22"/>
          <w:szCs w:val="22"/>
        </w:rPr>
      </w:pPr>
      <w:r>
        <w:rPr>
          <w:i/>
          <w:iCs/>
          <w:sz w:val="22"/>
          <w:szCs w:val="22"/>
        </w:rPr>
        <w:lastRenderedPageBreak/>
        <w:t>ANATHÈMES</w:t>
      </w:r>
      <w:r>
        <w:rPr>
          <w:sz w:val="22"/>
          <w:szCs w:val="22"/>
        </w:rPr>
        <w:tab/>
      </w:r>
      <w:r>
        <w:rPr>
          <w:sz w:val="22"/>
          <w:szCs w:val="22"/>
        </w:rPr>
        <w:tab/>
      </w:r>
      <w:r>
        <w:rPr>
          <w:sz w:val="22"/>
          <w:szCs w:val="22"/>
        </w:rPr>
        <w:sym w:font="Wingdings" w:char="F0E0"/>
      </w:r>
      <w:r>
        <w:rPr>
          <w:sz w:val="22"/>
          <w:szCs w:val="22"/>
        </w:rPr>
        <w:tab/>
        <w:t>canons 11-12-13-14</w:t>
      </w:r>
    </w:p>
    <w:p w:rsidR="00CE6B42" w:rsidRDefault="003B4686" w:rsidP="00CE6B42">
      <w:pPr>
        <w:pStyle w:val="Retraitcorpsdetexte"/>
        <w:pBdr>
          <w:top w:val="single" w:sz="4" w:space="1" w:color="auto"/>
          <w:left w:val="single" w:sz="4" w:space="4" w:color="auto"/>
          <w:bottom w:val="single" w:sz="4" w:space="1" w:color="auto"/>
          <w:right w:val="single" w:sz="4" w:space="4" w:color="auto"/>
        </w:pBdr>
        <w:spacing w:after="0"/>
        <w:ind w:left="708"/>
        <w:rPr>
          <w:b/>
          <w:bCs/>
          <w:sz w:val="20"/>
          <w:szCs w:val="20"/>
        </w:rPr>
      </w:pPr>
      <w:r>
        <w:rPr>
          <w:b/>
          <w:bCs/>
          <w:sz w:val="20"/>
          <w:szCs w:val="20"/>
        </w:rPr>
        <w:t xml:space="preserve">- </w:t>
      </w:r>
      <w:r w:rsidR="00CE6B42" w:rsidRPr="00031F3C">
        <w:rPr>
          <w:b/>
          <w:bCs/>
          <w:sz w:val="20"/>
          <w:szCs w:val="20"/>
        </w:rPr>
        <w:t>Contre toutes les hérésies trinitaires et christologiques (c. 11)</w:t>
      </w:r>
    </w:p>
    <w:p w:rsidR="00122797" w:rsidRPr="003F0A06" w:rsidRDefault="003B4686" w:rsidP="003F0A06">
      <w:pPr>
        <w:pStyle w:val="Retraitcorpsdetexte"/>
        <w:pBdr>
          <w:top w:val="single" w:sz="4" w:space="1" w:color="auto"/>
          <w:left w:val="single" w:sz="4" w:space="4" w:color="auto"/>
          <w:bottom w:val="single" w:sz="4" w:space="1" w:color="auto"/>
          <w:right w:val="single" w:sz="4" w:space="4" w:color="auto"/>
        </w:pBdr>
        <w:spacing w:after="0"/>
        <w:ind w:left="708"/>
        <w:rPr>
          <w:b/>
          <w:bCs/>
          <w:sz w:val="20"/>
          <w:szCs w:val="20"/>
        </w:rPr>
      </w:pPr>
      <w:r>
        <w:rPr>
          <w:b/>
          <w:bCs/>
          <w:sz w:val="20"/>
          <w:szCs w:val="20"/>
        </w:rPr>
        <w:t xml:space="preserve">- </w:t>
      </w:r>
      <w:r w:rsidR="00CE6B42">
        <w:rPr>
          <w:b/>
          <w:bCs/>
          <w:sz w:val="20"/>
          <w:szCs w:val="20"/>
        </w:rPr>
        <w:t xml:space="preserve">Contre les </w:t>
      </w:r>
      <w:r w:rsidR="00F5290F">
        <w:rPr>
          <w:b/>
          <w:bCs/>
          <w:sz w:val="20"/>
          <w:szCs w:val="20"/>
        </w:rPr>
        <w:t>« </w:t>
      </w:r>
      <w:r w:rsidR="00CE6B42">
        <w:rPr>
          <w:b/>
          <w:bCs/>
          <w:sz w:val="20"/>
          <w:szCs w:val="20"/>
        </w:rPr>
        <w:t>Trois Chapitres</w:t>
      </w:r>
      <w:r w:rsidR="00F5290F">
        <w:rPr>
          <w:b/>
          <w:bCs/>
          <w:sz w:val="20"/>
          <w:szCs w:val="20"/>
        </w:rPr>
        <w:t> » (</w:t>
      </w:r>
      <w:proofErr w:type="spellStart"/>
      <w:r w:rsidR="00F5290F">
        <w:rPr>
          <w:b/>
          <w:bCs/>
          <w:sz w:val="20"/>
          <w:szCs w:val="20"/>
        </w:rPr>
        <w:t>Théodoret</w:t>
      </w:r>
      <w:proofErr w:type="spellEnd"/>
      <w:r w:rsidR="00F5290F">
        <w:rPr>
          <w:b/>
          <w:bCs/>
          <w:sz w:val="20"/>
          <w:szCs w:val="20"/>
        </w:rPr>
        <w:t xml:space="preserve">, Théodore de </w:t>
      </w:r>
      <w:proofErr w:type="spellStart"/>
      <w:r w:rsidR="00F5290F">
        <w:rPr>
          <w:b/>
          <w:bCs/>
          <w:sz w:val="20"/>
          <w:szCs w:val="20"/>
        </w:rPr>
        <w:t>Mopsueste</w:t>
      </w:r>
      <w:proofErr w:type="spellEnd"/>
      <w:r w:rsidR="00F5290F">
        <w:rPr>
          <w:b/>
          <w:bCs/>
          <w:sz w:val="20"/>
          <w:szCs w:val="20"/>
        </w:rPr>
        <w:t xml:space="preserve">, </w:t>
      </w:r>
      <w:proofErr w:type="spellStart"/>
      <w:r w:rsidR="00F5290F">
        <w:rPr>
          <w:b/>
          <w:bCs/>
          <w:sz w:val="20"/>
          <w:szCs w:val="20"/>
        </w:rPr>
        <w:t>Ibas</w:t>
      </w:r>
      <w:proofErr w:type="spellEnd"/>
      <w:r w:rsidR="00F5290F">
        <w:rPr>
          <w:b/>
          <w:bCs/>
          <w:sz w:val="20"/>
          <w:szCs w:val="20"/>
        </w:rPr>
        <w:t xml:space="preserve"> d’Édesse)</w:t>
      </w:r>
      <w:r w:rsidR="00CE6B42">
        <w:rPr>
          <w:b/>
          <w:bCs/>
          <w:sz w:val="20"/>
          <w:szCs w:val="20"/>
        </w:rPr>
        <w:t xml:space="preserve"> (c. 12, 13, 14)</w:t>
      </w:r>
      <w:bookmarkStart w:id="0" w:name="_GoBack"/>
      <w:bookmarkEnd w:id="0"/>
    </w:p>
    <w:sectPr w:rsidR="00122797" w:rsidRPr="003F0A06" w:rsidSect="00DB692E">
      <w:pgSz w:w="11906" w:h="16838"/>
      <w:pgMar w:top="851"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686" w:rsidRDefault="003B4686" w:rsidP="003B4686">
      <w:r>
        <w:separator/>
      </w:r>
    </w:p>
  </w:endnote>
  <w:endnote w:type="continuationSeparator" w:id="0">
    <w:p w:rsidR="003B4686" w:rsidRDefault="003B4686" w:rsidP="003B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usillus">
    <w:altName w:val="Times New Roman"/>
    <w:charset w:val="00"/>
    <w:family w:val="roman"/>
    <w:pitch w:val="variable"/>
    <w:sig w:usb0="C00008EF" w:usb1="5000201B" w:usb2="00000000" w:usb3="00000000" w:csb0="000000B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686" w:rsidRDefault="003B4686" w:rsidP="003B4686">
      <w:r>
        <w:separator/>
      </w:r>
    </w:p>
  </w:footnote>
  <w:footnote w:type="continuationSeparator" w:id="0">
    <w:p w:rsidR="003B4686" w:rsidRDefault="003B4686" w:rsidP="003B4686">
      <w:r>
        <w:continuationSeparator/>
      </w:r>
    </w:p>
  </w:footnote>
  <w:footnote w:id="1">
    <w:p w:rsidR="003B4686" w:rsidRDefault="003B4686" w:rsidP="003B4686">
      <w:pPr>
        <w:pStyle w:val="Notedebasdepage"/>
      </w:pPr>
      <w:r>
        <w:rPr>
          <w:rStyle w:val="Appelnotedebasdep"/>
        </w:rPr>
        <w:footnoteRef/>
      </w:r>
      <w:r>
        <w:t xml:space="preserve"> B</w:t>
      </w:r>
      <w:r w:rsidR="003B5379">
        <w:t>ernard</w:t>
      </w:r>
      <w:r>
        <w:t xml:space="preserve"> </w:t>
      </w:r>
      <w:proofErr w:type="spellStart"/>
      <w:r w:rsidRPr="00C41D44">
        <w:rPr>
          <w:smallCaps/>
        </w:rPr>
        <w:t>Sesboüé</w:t>
      </w:r>
      <w:proofErr w:type="spellEnd"/>
      <w:r>
        <w:t xml:space="preserve">, </w:t>
      </w:r>
      <w:r w:rsidRPr="00C41D44">
        <w:rPr>
          <w:i/>
          <w:iCs/>
        </w:rPr>
        <w:t>J</w:t>
      </w:r>
      <w:r w:rsidR="003B5379">
        <w:rPr>
          <w:i/>
          <w:iCs/>
        </w:rPr>
        <w:t xml:space="preserve">ésus-Christ dans la </w:t>
      </w:r>
      <w:r w:rsidRPr="00C41D44">
        <w:rPr>
          <w:i/>
          <w:iCs/>
        </w:rPr>
        <w:t>T</w:t>
      </w:r>
      <w:r w:rsidR="003B5379">
        <w:rPr>
          <w:i/>
          <w:iCs/>
        </w:rPr>
        <w:t>radition de l’</w:t>
      </w:r>
      <w:r w:rsidR="003B5379">
        <w:rPr>
          <w:rFonts w:ascii="Times New Roman" w:hAnsi="Times New Roman" w:cs="Times New Roman"/>
          <w:i/>
          <w:iCs/>
        </w:rPr>
        <w:t>É</w:t>
      </w:r>
      <w:r w:rsidR="003B5379">
        <w:rPr>
          <w:i/>
          <w:iCs/>
        </w:rPr>
        <w:t>glise</w:t>
      </w:r>
      <w:r>
        <w:t>, p. 155-156.</w:t>
      </w:r>
    </w:p>
  </w:footnote>
  <w:footnote w:id="2">
    <w:p w:rsidR="003B4686" w:rsidRDefault="003B4686" w:rsidP="003B4686">
      <w:pPr>
        <w:pStyle w:val="Notedebasdepage"/>
      </w:pPr>
      <w:r>
        <w:rPr>
          <w:rStyle w:val="Appelnotedebasdep"/>
        </w:rPr>
        <w:footnoteRef/>
      </w:r>
      <w:r>
        <w:t xml:space="preserve"> B. </w:t>
      </w:r>
      <w:r w:rsidRPr="00387BD9">
        <w:rPr>
          <w:smallCaps/>
        </w:rPr>
        <w:t>Meunier</w:t>
      </w:r>
      <w:r>
        <w:t>, « Qui est le Christ ? », p. 233.</w:t>
      </w:r>
    </w:p>
  </w:footnote>
  <w:footnote w:id="3">
    <w:p w:rsidR="003B4686" w:rsidRDefault="003B4686" w:rsidP="003B4686">
      <w:pPr>
        <w:pStyle w:val="Notedebasdepage"/>
      </w:pPr>
      <w:r>
        <w:rPr>
          <w:rStyle w:val="Appelnotedebasdep"/>
        </w:rPr>
        <w:footnoteRef/>
      </w:r>
      <w:r>
        <w:t xml:space="preserve"> B. </w:t>
      </w:r>
      <w:proofErr w:type="spellStart"/>
      <w:r w:rsidRPr="00C41D44">
        <w:rPr>
          <w:smallCaps/>
        </w:rPr>
        <w:t>Sesboüé</w:t>
      </w:r>
      <w:proofErr w:type="spellEnd"/>
      <w:r>
        <w:t xml:space="preserve">, </w:t>
      </w:r>
      <w:r w:rsidRPr="00C41D44">
        <w:rPr>
          <w:i/>
          <w:iCs/>
        </w:rPr>
        <w:t>JTE</w:t>
      </w:r>
      <w:r>
        <w:t>, p. 158.</w:t>
      </w:r>
    </w:p>
  </w:footnote>
  <w:footnote w:id="4">
    <w:p w:rsidR="003B4686" w:rsidRDefault="003B4686" w:rsidP="003B4686">
      <w:pPr>
        <w:pStyle w:val="Notedebasdepage"/>
      </w:pPr>
      <w:r>
        <w:rPr>
          <w:rStyle w:val="Appelnotedebasdep"/>
        </w:rPr>
        <w:footnoteRef/>
      </w:r>
      <w:r>
        <w:t xml:space="preserve"> </w:t>
      </w:r>
      <w:r w:rsidRPr="00420DF2">
        <w:rPr>
          <w:rFonts w:cstheme="minorHAnsi"/>
        </w:rPr>
        <w:t xml:space="preserve">Jean </w:t>
      </w:r>
      <w:r w:rsidRPr="00420DF2">
        <w:rPr>
          <w:rFonts w:cstheme="minorHAnsi"/>
          <w:smallCaps/>
        </w:rPr>
        <w:t>Daniélou</w:t>
      </w:r>
      <w:r>
        <w:rPr>
          <w:rFonts w:cstheme="minorHAnsi"/>
        </w:rPr>
        <w:t xml:space="preserve"> et Henri-Irénée </w:t>
      </w:r>
      <w:r w:rsidRPr="00420DF2">
        <w:rPr>
          <w:rFonts w:cstheme="minorHAnsi"/>
          <w:smallCaps/>
        </w:rPr>
        <w:t>Marrou</w:t>
      </w:r>
      <w:r>
        <w:rPr>
          <w:rFonts w:cstheme="minorHAnsi"/>
        </w:rPr>
        <w:t xml:space="preserve">, </w:t>
      </w:r>
      <w:r w:rsidRPr="00420DF2">
        <w:rPr>
          <w:rFonts w:cstheme="minorHAnsi"/>
          <w:i/>
        </w:rPr>
        <w:t>Nouvelle histoire de l’Église</w:t>
      </w:r>
      <w:r>
        <w:rPr>
          <w:rFonts w:cstheme="minorHAnsi"/>
        </w:rPr>
        <w:t xml:space="preserve">, Seuil 1963 : </w:t>
      </w:r>
      <w:r w:rsidRPr="00420DF2">
        <w:rPr>
          <w:rFonts w:cstheme="minorHAnsi"/>
        </w:rPr>
        <w:t>t. 1</w:t>
      </w:r>
      <w:r>
        <w:rPr>
          <w:rFonts w:cstheme="minorHAnsi"/>
        </w:rPr>
        <w:t xml:space="preserve"> (</w:t>
      </w:r>
      <w:r w:rsidRPr="00420DF2">
        <w:rPr>
          <w:rFonts w:cstheme="minorHAnsi"/>
          <w:i/>
        </w:rPr>
        <w:t>Des origines à Grégoire le Grand</w:t>
      </w:r>
      <w:r>
        <w:rPr>
          <w:rFonts w:cstheme="minorHAnsi"/>
        </w:rPr>
        <w:t>) IIe partie, II (Cinquième et sixième siècles), chapitre 5, p. 404.</w:t>
      </w:r>
    </w:p>
  </w:footnote>
  <w:footnote w:id="5">
    <w:p w:rsidR="003B4686" w:rsidRDefault="003B4686" w:rsidP="003B4686">
      <w:pPr>
        <w:pStyle w:val="Notedebasdepage"/>
      </w:pPr>
      <w:r>
        <w:rPr>
          <w:rStyle w:val="Appelnotedebasdep"/>
        </w:rPr>
        <w:footnoteRef/>
      </w:r>
      <w:r>
        <w:t xml:space="preserve"> </w:t>
      </w:r>
      <w:r w:rsidRPr="00420DF2">
        <w:rPr>
          <w:rFonts w:cstheme="minorHAnsi"/>
        </w:rPr>
        <w:t xml:space="preserve">Jean </w:t>
      </w:r>
      <w:r w:rsidRPr="00420DF2">
        <w:rPr>
          <w:rFonts w:cstheme="minorHAnsi"/>
          <w:smallCaps/>
        </w:rPr>
        <w:t>Daniélou</w:t>
      </w:r>
      <w:r>
        <w:rPr>
          <w:rFonts w:cstheme="minorHAnsi"/>
        </w:rPr>
        <w:t xml:space="preserve"> et Henri-Irénée </w:t>
      </w:r>
      <w:r w:rsidRPr="00420DF2">
        <w:rPr>
          <w:rFonts w:cstheme="minorHAnsi"/>
          <w:smallCaps/>
        </w:rPr>
        <w:t>Marrou</w:t>
      </w:r>
      <w:r>
        <w:rPr>
          <w:rFonts w:cstheme="minorHAnsi"/>
        </w:rPr>
        <w:t xml:space="preserve">, </w:t>
      </w:r>
      <w:r w:rsidRPr="00420DF2">
        <w:rPr>
          <w:rFonts w:cstheme="minorHAnsi"/>
          <w:i/>
        </w:rPr>
        <w:t>Nouvelle histoire de l’Église</w:t>
      </w:r>
      <w:r>
        <w:rPr>
          <w:rFonts w:cstheme="minorHAnsi"/>
        </w:rPr>
        <w:t xml:space="preserve">, Seuil 1963 : </w:t>
      </w:r>
      <w:r w:rsidRPr="00420DF2">
        <w:rPr>
          <w:rFonts w:cstheme="minorHAnsi"/>
        </w:rPr>
        <w:t>t. 1</w:t>
      </w:r>
      <w:r>
        <w:rPr>
          <w:rFonts w:cstheme="minorHAnsi"/>
        </w:rPr>
        <w:t xml:space="preserve"> (</w:t>
      </w:r>
      <w:r w:rsidRPr="00420DF2">
        <w:rPr>
          <w:rFonts w:cstheme="minorHAnsi"/>
          <w:i/>
        </w:rPr>
        <w:t>Des origines à Grégoire le Grand</w:t>
      </w:r>
      <w:r>
        <w:rPr>
          <w:rFonts w:cstheme="minorHAnsi"/>
        </w:rPr>
        <w:t>) IIe partie, II (Cinquième et sixième siècles), chapitre 5, p. 405.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0FE3"/>
    <w:multiLevelType w:val="hybridMultilevel"/>
    <w:tmpl w:val="C4C417AE"/>
    <w:lvl w:ilvl="0" w:tplc="E79E449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B42"/>
    <w:rsid w:val="00122797"/>
    <w:rsid w:val="003B4686"/>
    <w:rsid w:val="003B5379"/>
    <w:rsid w:val="003F0A06"/>
    <w:rsid w:val="00892567"/>
    <w:rsid w:val="00CE6B42"/>
    <w:rsid w:val="00DB692E"/>
    <w:rsid w:val="00F021BA"/>
    <w:rsid w:val="00F27DBA"/>
    <w:rsid w:val="00F529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57E"/>
  <w15:chartTrackingRefBased/>
  <w15:docId w15:val="{8FE8BAF5-ED6D-4114-9BB9-9635FE72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B42"/>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unhideWhenUsed/>
    <w:qFormat/>
    <w:rsid w:val="00CE6B42"/>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E6B42"/>
    <w:rPr>
      <w:rFonts w:ascii="Cambria" w:eastAsia="Times New Roman" w:hAnsi="Cambria" w:cs="Times New Roman"/>
      <w:b/>
      <w:bCs/>
      <w:sz w:val="26"/>
      <w:szCs w:val="26"/>
      <w:lang w:eastAsia="fr-FR"/>
    </w:rPr>
  </w:style>
  <w:style w:type="paragraph" w:styleId="Corpsdetexte">
    <w:name w:val="Body Text"/>
    <w:basedOn w:val="Normal"/>
    <w:link w:val="CorpsdetexteCar"/>
    <w:uiPriority w:val="99"/>
    <w:unhideWhenUsed/>
    <w:rsid w:val="00CE6B42"/>
    <w:pPr>
      <w:spacing w:after="120"/>
    </w:pPr>
  </w:style>
  <w:style w:type="character" w:customStyle="1" w:styleId="CorpsdetexteCar">
    <w:name w:val="Corps de texte Car"/>
    <w:basedOn w:val="Policepardfaut"/>
    <w:link w:val="Corpsdetexte"/>
    <w:uiPriority w:val="99"/>
    <w:rsid w:val="00CE6B42"/>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iPriority w:val="99"/>
    <w:unhideWhenUsed/>
    <w:rsid w:val="00CE6B42"/>
    <w:pPr>
      <w:spacing w:after="120"/>
      <w:ind w:left="283"/>
    </w:pPr>
  </w:style>
  <w:style w:type="character" w:customStyle="1" w:styleId="RetraitcorpsdetexteCar">
    <w:name w:val="Retrait corps de texte Car"/>
    <w:basedOn w:val="Policepardfaut"/>
    <w:link w:val="Retraitcorpsdetexte"/>
    <w:uiPriority w:val="99"/>
    <w:rsid w:val="00CE6B42"/>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3B4686"/>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3B4686"/>
    <w:rPr>
      <w:sz w:val="20"/>
      <w:szCs w:val="20"/>
    </w:rPr>
  </w:style>
  <w:style w:type="character" w:styleId="Appelnotedebasdep">
    <w:name w:val="footnote reference"/>
    <w:basedOn w:val="Policepardfaut"/>
    <w:semiHidden/>
    <w:unhideWhenUsed/>
    <w:rsid w:val="003B4686"/>
    <w:rPr>
      <w:vertAlign w:val="superscript"/>
    </w:rPr>
  </w:style>
  <w:style w:type="paragraph" w:styleId="Textedebulles">
    <w:name w:val="Balloon Text"/>
    <w:basedOn w:val="Normal"/>
    <w:link w:val="TextedebullesCar"/>
    <w:uiPriority w:val="99"/>
    <w:semiHidden/>
    <w:unhideWhenUsed/>
    <w:rsid w:val="003F0A06"/>
    <w:rPr>
      <w:rFonts w:ascii="Segoe UI" w:hAnsi="Segoe UI" w:cs="Segoe UI"/>
      <w:sz w:val="18"/>
      <w:szCs w:val="18"/>
    </w:rPr>
  </w:style>
  <w:style w:type="character" w:customStyle="1" w:styleId="TextedebullesCar">
    <w:name w:val="Texte de bulles Car"/>
    <w:basedOn w:val="Policepardfaut"/>
    <w:link w:val="Textedebulles"/>
    <w:uiPriority w:val="99"/>
    <w:semiHidden/>
    <w:rsid w:val="003F0A06"/>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1155</Words>
  <Characters>6358</Characters>
  <Application>Microsoft Office Word</Application>
  <DocSecurity>4</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BATUT</dc:creator>
  <cp:keywords/>
  <dc:description/>
  <cp:lastModifiedBy>Michèle MARAVAL</cp:lastModifiedBy>
  <cp:revision>2</cp:revision>
  <cp:lastPrinted>2026-02-17T08:23:00Z</cp:lastPrinted>
  <dcterms:created xsi:type="dcterms:W3CDTF">2026-02-17T08:24:00Z</dcterms:created>
  <dcterms:modified xsi:type="dcterms:W3CDTF">2026-02-17T08:24:00Z</dcterms:modified>
</cp:coreProperties>
</file>