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B2" w:rsidRPr="00B00854" w:rsidRDefault="005A2EB2" w:rsidP="005A2EB2">
      <w:pPr>
        <w:pStyle w:val="Titre"/>
        <w:jc w:val="center"/>
        <w:rPr>
          <w:rFonts w:cstheme="majorHAnsi"/>
          <w:b/>
          <w:sz w:val="36"/>
          <w:szCs w:val="36"/>
        </w:rPr>
      </w:pPr>
      <w:r w:rsidRPr="00B00854">
        <w:rPr>
          <w:rFonts w:cstheme="majorHAnsi"/>
          <w:b/>
          <w:sz w:val="36"/>
          <w:szCs w:val="36"/>
        </w:rPr>
        <w:t>CONFÉRENCE SUR CONSTANTINOPLE III (680-681</w:t>
      </w:r>
      <w:proofErr w:type="gramStart"/>
      <w:r w:rsidRPr="00B00854">
        <w:rPr>
          <w:rFonts w:cstheme="majorHAnsi"/>
          <w:b/>
          <w:sz w:val="36"/>
          <w:szCs w:val="36"/>
        </w:rPr>
        <w:t>)</w:t>
      </w:r>
      <w:r w:rsidRPr="00B00854">
        <w:rPr>
          <w:rFonts w:cstheme="majorHAnsi"/>
          <w:b/>
          <w:sz w:val="36"/>
          <w:szCs w:val="36"/>
        </w:rPr>
        <w:t xml:space="preserve"> </w:t>
      </w:r>
      <w:r w:rsidR="00B00854">
        <w:rPr>
          <w:rFonts w:cstheme="majorHAnsi"/>
          <w:b/>
          <w:sz w:val="36"/>
          <w:szCs w:val="36"/>
        </w:rPr>
        <w:t xml:space="preserve"> </w:t>
      </w:r>
      <w:r w:rsidRPr="00B00854">
        <w:rPr>
          <w:rFonts w:cstheme="majorHAnsi"/>
          <w:b/>
          <w:sz w:val="36"/>
          <w:szCs w:val="36"/>
        </w:rPr>
        <w:t>-</w:t>
      </w:r>
      <w:proofErr w:type="gramEnd"/>
      <w:r w:rsidRPr="00B00854">
        <w:rPr>
          <w:rFonts w:cstheme="majorHAnsi"/>
          <w:b/>
          <w:sz w:val="36"/>
          <w:szCs w:val="36"/>
        </w:rPr>
        <w:t xml:space="preserve"> </w:t>
      </w:r>
      <w:r w:rsidRPr="00B00854">
        <w:rPr>
          <w:rFonts w:cstheme="majorHAnsi"/>
          <w:b/>
          <w:sz w:val="36"/>
          <w:szCs w:val="36"/>
        </w:rPr>
        <w:t>14 avril 2026</w:t>
      </w:r>
    </w:p>
    <w:p w:rsidR="005A2EB2" w:rsidRPr="0000505C" w:rsidRDefault="005A2EB2" w:rsidP="005A2EB2">
      <w:pPr>
        <w:spacing w:after="0"/>
        <w:jc w:val="both"/>
        <w:rPr>
          <w:rFonts w:ascii="Times New Roman" w:hAnsi="Times New Roman" w:cs="Times New Roman"/>
          <w:b/>
          <w:sz w:val="24"/>
          <w:szCs w:val="24"/>
        </w:rPr>
      </w:pPr>
    </w:p>
    <w:p w:rsidR="005A2EB2" w:rsidRPr="0000505C" w:rsidRDefault="0000505C" w:rsidP="0000505C">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5A2EB2" w:rsidRPr="0000505C">
        <w:rPr>
          <w:rFonts w:ascii="Times New Roman" w:hAnsi="Times New Roman" w:cs="Times New Roman"/>
          <w:b/>
          <w:sz w:val="24"/>
          <w:szCs w:val="24"/>
        </w:rPr>
        <w:t xml:space="preserve"> De Constantinople II à la crise du monothélisme</w:t>
      </w:r>
    </w:p>
    <w:p w:rsidR="005A2EB2" w:rsidRPr="0000505C" w:rsidRDefault="005A2EB2" w:rsidP="005A2EB2">
      <w:pPr>
        <w:spacing w:after="0"/>
        <w:jc w:val="both"/>
        <w:rPr>
          <w:rFonts w:ascii="Times New Roman" w:hAnsi="Times New Roman" w:cs="Times New Roman"/>
          <w:b/>
        </w:rPr>
      </w:pPr>
      <w:r w:rsidRPr="0000505C">
        <w:rPr>
          <w:rFonts w:ascii="Times New Roman" w:hAnsi="Times New Roman" w:cs="Times New Roman"/>
          <w:b/>
        </w:rPr>
        <w:t>1/ La dimension théologique :</w:t>
      </w:r>
    </w:p>
    <w:p w:rsidR="005A2EB2" w:rsidRPr="005A2EB2" w:rsidRDefault="005A2EB2" w:rsidP="005A2EB2">
      <w:pPr>
        <w:spacing w:after="0"/>
        <w:jc w:val="both"/>
        <w:rPr>
          <w:rFonts w:ascii="Times New Roman" w:hAnsi="Times New Roman" w:cs="Times New Roman"/>
        </w:rPr>
      </w:pPr>
      <w:r w:rsidRPr="005A2EB2">
        <w:rPr>
          <w:rFonts w:ascii="Times New Roman" w:hAnsi="Times New Roman" w:cs="Times New Roman"/>
        </w:rPr>
        <w:t>B</w:t>
      </w:r>
      <w:r w:rsidRPr="005A2EB2">
        <w:rPr>
          <w:rFonts w:ascii="Times New Roman" w:hAnsi="Times New Roman" w:cs="Times New Roman"/>
        </w:rPr>
        <w:t>ut de Constantinople II</w:t>
      </w:r>
      <w:r w:rsidRPr="005A2EB2">
        <w:rPr>
          <w:rFonts w:ascii="Times New Roman" w:hAnsi="Times New Roman" w:cs="Times New Roman"/>
        </w:rPr>
        <w:t xml:space="preserve"> : </w:t>
      </w:r>
      <w:r w:rsidRPr="005A2EB2">
        <w:rPr>
          <w:rFonts w:ascii="Times New Roman" w:hAnsi="Times New Roman" w:cs="Times New Roman"/>
        </w:rPr>
        <w:t>relier Chalcédoine à Éphèse, rappeler que « la dualité [n’]est [qu’]un moment de la considération du Christ, qui part de son unité et retourne à son unité »</w:t>
      </w:r>
      <w:r w:rsidRPr="005A2EB2">
        <w:rPr>
          <w:rStyle w:val="Appelnotedebasdep"/>
          <w:rFonts w:ascii="Times New Roman" w:hAnsi="Times New Roman" w:cs="Times New Roman"/>
        </w:rPr>
        <w:footnoteReference w:id="1"/>
      </w:r>
      <w:r w:rsidRPr="005A2EB2">
        <w:rPr>
          <w:rFonts w:ascii="Times New Roman" w:hAnsi="Times New Roman" w:cs="Times New Roman"/>
        </w:rPr>
        <w:t>.</w:t>
      </w:r>
      <w:r w:rsidRPr="005A2EB2">
        <w:rPr>
          <w:rFonts w:ascii="Times New Roman" w:hAnsi="Times New Roman" w:cs="Times New Roman"/>
        </w:rPr>
        <w:t xml:space="preserve"> En particulier, « un de la Trinité a souffert dans la chair » (Justinien).</w:t>
      </w:r>
    </w:p>
    <w:p w:rsidR="005A2EB2" w:rsidRPr="005A2EB2" w:rsidRDefault="005A2EB2" w:rsidP="005A2EB2">
      <w:pPr>
        <w:spacing w:after="0"/>
        <w:jc w:val="both"/>
        <w:rPr>
          <w:rFonts w:ascii="Times New Roman" w:hAnsi="Times New Roman" w:cs="Times New Roman"/>
        </w:rPr>
      </w:pPr>
      <w:r w:rsidRPr="005A2EB2">
        <w:rPr>
          <w:rFonts w:ascii="Times New Roman" w:hAnsi="Times New Roman" w:cs="Times New Roman"/>
        </w:rPr>
        <w:t>Mais comme les monophysites ne désarment pas, on déplace le problème de l’</w:t>
      </w:r>
      <w:r w:rsidRPr="005A2EB2">
        <w:rPr>
          <w:rFonts w:ascii="Times New Roman" w:hAnsi="Times New Roman" w:cs="Times New Roman"/>
          <w:i/>
        </w:rPr>
        <w:t xml:space="preserve">être </w:t>
      </w:r>
      <w:r w:rsidRPr="005A2EB2">
        <w:rPr>
          <w:rFonts w:ascii="Times New Roman" w:hAnsi="Times New Roman" w:cs="Times New Roman"/>
        </w:rPr>
        <w:t xml:space="preserve">du Christ à celui de son </w:t>
      </w:r>
      <w:r w:rsidRPr="005A2EB2">
        <w:rPr>
          <w:rFonts w:ascii="Times New Roman" w:hAnsi="Times New Roman" w:cs="Times New Roman"/>
          <w:i/>
        </w:rPr>
        <w:t>agir</w:t>
      </w:r>
      <w:r w:rsidRPr="005A2EB2">
        <w:rPr>
          <w:rFonts w:ascii="Times New Roman" w:hAnsi="Times New Roman" w:cs="Times New Roman"/>
        </w:rPr>
        <w:t>, en affirmant que so</w:t>
      </w:r>
      <w:r w:rsidRPr="005A2EB2">
        <w:rPr>
          <w:rFonts w:ascii="Times New Roman" w:hAnsi="Times New Roman" w:cs="Times New Roman"/>
        </w:rPr>
        <w:t>n « énergie », c’est-à-dire le dyna</w:t>
      </w:r>
      <w:r w:rsidRPr="005A2EB2">
        <w:rPr>
          <w:rFonts w:ascii="Times New Roman" w:hAnsi="Times New Roman" w:cs="Times New Roman"/>
        </w:rPr>
        <w:t>misme de son action, est divin.</w:t>
      </w:r>
    </w:p>
    <w:p w:rsidR="005A2EB2" w:rsidRDefault="005A2EB2" w:rsidP="005A2EB2">
      <w:pPr>
        <w:spacing w:after="0"/>
        <w:ind w:left="708"/>
        <w:jc w:val="both"/>
        <w:rPr>
          <w:rFonts w:ascii="Times New Roman" w:hAnsi="Times New Roman" w:cs="Times New Roman"/>
          <w:sz w:val="20"/>
          <w:szCs w:val="20"/>
        </w:rPr>
      </w:pPr>
      <w:r w:rsidRPr="005A2EB2">
        <w:rPr>
          <w:rFonts w:ascii="Times New Roman" w:hAnsi="Times New Roman" w:cs="Times New Roman"/>
          <w:sz w:val="20"/>
          <w:szCs w:val="20"/>
        </w:rPr>
        <w:t xml:space="preserve">Après sa victoire sur la Perse [en 628], [l’empereur] Héraclius fit un effort résolu pour obtenir la loyauté des monophysites d’Arménie, de Syrie et d’Égypte qui avaient joui d’un régime de faveur sous leurs maîtres perses. Il commença à propager la doctrine du </w:t>
      </w:r>
      <w:proofErr w:type="spellStart"/>
      <w:r w:rsidRPr="005A2EB2">
        <w:rPr>
          <w:rFonts w:ascii="Times New Roman" w:hAnsi="Times New Roman" w:cs="Times New Roman"/>
          <w:i/>
          <w:sz w:val="20"/>
          <w:szCs w:val="20"/>
        </w:rPr>
        <w:t>monoénergisme</w:t>
      </w:r>
      <w:proofErr w:type="spellEnd"/>
      <w:r w:rsidRPr="005A2EB2">
        <w:rPr>
          <w:rFonts w:ascii="Times New Roman" w:hAnsi="Times New Roman" w:cs="Times New Roman"/>
          <w:sz w:val="20"/>
          <w:szCs w:val="20"/>
        </w:rPr>
        <w:t xml:space="preserve"> qui semble avoir été inventée dans les premières années de son règne par Serge, patriarche de Constantinople. En affirmant que le Christ a deux natures mais une seule force active (</w:t>
      </w:r>
      <w:proofErr w:type="spellStart"/>
      <w:r w:rsidRPr="005A2EB2">
        <w:rPr>
          <w:rFonts w:ascii="Times New Roman" w:hAnsi="Times New Roman" w:cs="Times New Roman"/>
          <w:i/>
          <w:sz w:val="20"/>
          <w:szCs w:val="20"/>
        </w:rPr>
        <w:t>energeia</w:t>
      </w:r>
      <w:proofErr w:type="spellEnd"/>
      <w:r w:rsidRPr="005A2EB2">
        <w:rPr>
          <w:rFonts w:ascii="Times New Roman" w:hAnsi="Times New Roman" w:cs="Times New Roman"/>
          <w:sz w:val="20"/>
          <w:szCs w:val="20"/>
        </w:rPr>
        <w:t>) cette doctrine semblait ouvrir la porte à un compromis entre orthodoxes et monophysites. Les efforts d’Héraclius eurent d’abord du succès ; même le pape Honorius Ier fut assez convaincu pour donner son appui ; en 633, il semblait que l’Empire unanime acceptait formellement l’orthodoxie de Chalcédoine. Cependant cette unanimité fondée sur l’équivoque théologique et l’opportunisme politique ne pouvait durer longtemps</w:t>
      </w:r>
      <w:r w:rsidRPr="005A2EB2">
        <w:rPr>
          <w:rStyle w:val="Appelnotedebasdep"/>
          <w:rFonts w:ascii="Times New Roman" w:hAnsi="Times New Roman" w:cs="Times New Roman"/>
          <w:sz w:val="20"/>
          <w:szCs w:val="20"/>
        </w:rPr>
        <w:footnoteReference w:id="2"/>
      </w:r>
      <w:r w:rsidRPr="005A2EB2">
        <w:rPr>
          <w:rFonts w:ascii="Times New Roman" w:hAnsi="Times New Roman" w:cs="Times New Roman"/>
          <w:sz w:val="20"/>
          <w:szCs w:val="20"/>
        </w:rPr>
        <w:t>.</w:t>
      </w:r>
    </w:p>
    <w:p w:rsidR="00B00854" w:rsidRPr="0000505C" w:rsidRDefault="00B00854" w:rsidP="00B00854">
      <w:pPr>
        <w:spacing w:after="0"/>
        <w:jc w:val="both"/>
        <w:rPr>
          <w:rFonts w:ascii="Times New Roman" w:hAnsi="Times New Roman" w:cs="Times New Roman"/>
        </w:rPr>
      </w:pPr>
    </w:p>
    <w:p w:rsidR="005A2EB2" w:rsidRPr="0000505C" w:rsidRDefault="005A2EB2" w:rsidP="005A2EB2">
      <w:pPr>
        <w:spacing w:after="0"/>
        <w:jc w:val="both"/>
        <w:rPr>
          <w:rFonts w:ascii="Times New Roman" w:hAnsi="Times New Roman" w:cs="Times New Roman"/>
          <w:b/>
        </w:rPr>
      </w:pPr>
      <w:r w:rsidRPr="0000505C">
        <w:rPr>
          <w:rFonts w:ascii="Times New Roman" w:hAnsi="Times New Roman" w:cs="Times New Roman"/>
          <w:b/>
        </w:rPr>
        <w:t>2/ La dimension politique sous Héraclius et Sergius :</w:t>
      </w:r>
    </w:p>
    <w:p w:rsidR="005A2EB2" w:rsidRPr="0000505C" w:rsidRDefault="005A2EB2" w:rsidP="005A2EB2">
      <w:pPr>
        <w:spacing w:after="0"/>
        <w:jc w:val="both"/>
        <w:rPr>
          <w:rFonts w:ascii="Times New Roman" w:hAnsi="Times New Roman" w:cs="Times New Roman"/>
        </w:rPr>
      </w:pPr>
      <w:r w:rsidRPr="0000505C">
        <w:rPr>
          <w:rFonts w:ascii="Times New Roman" w:hAnsi="Times New Roman" w:cs="Times New Roman"/>
        </w:rPr>
        <w:sym w:font="Wingdings 2" w:char="F0A1"/>
      </w:r>
      <w:r w:rsidRPr="0000505C">
        <w:rPr>
          <w:rFonts w:ascii="Times New Roman" w:hAnsi="Times New Roman" w:cs="Times New Roman"/>
        </w:rPr>
        <w:t xml:space="preserve"> </w:t>
      </w:r>
      <w:r w:rsidRPr="0000505C">
        <w:rPr>
          <w:rFonts w:ascii="Times New Roman" w:hAnsi="Times New Roman" w:cs="Times New Roman"/>
        </w:rPr>
        <w:t xml:space="preserve">Après </w:t>
      </w:r>
      <w:r w:rsidRPr="0000505C">
        <w:rPr>
          <w:rFonts w:ascii="Times New Roman" w:hAnsi="Times New Roman" w:cs="Times New Roman"/>
        </w:rPr>
        <w:t>Justinien</w:t>
      </w:r>
      <w:r w:rsidRPr="0000505C">
        <w:rPr>
          <w:rFonts w:ascii="Times New Roman" w:hAnsi="Times New Roman" w:cs="Times New Roman"/>
        </w:rPr>
        <w:t xml:space="preserve"> (</w:t>
      </w:r>
      <w:r w:rsidRPr="0000505C">
        <w:rPr>
          <w:rFonts w:ascii="Arial" w:hAnsi="Arial" w:cs="Arial"/>
        </w:rPr>
        <w:t>†</w:t>
      </w:r>
      <w:r w:rsidRPr="0000505C">
        <w:rPr>
          <w:rFonts w:ascii="Times New Roman" w:hAnsi="Times New Roman" w:cs="Times New Roman"/>
        </w:rPr>
        <w:t xml:space="preserve"> </w:t>
      </w:r>
      <w:r w:rsidRPr="0000505C">
        <w:rPr>
          <w:rFonts w:ascii="Times New Roman" w:hAnsi="Times New Roman" w:cs="Times New Roman"/>
        </w:rPr>
        <w:t>565</w:t>
      </w:r>
      <w:r w:rsidRPr="0000505C">
        <w:rPr>
          <w:rFonts w:ascii="Times New Roman" w:hAnsi="Times New Roman" w:cs="Times New Roman"/>
        </w:rPr>
        <w:t>)</w:t>
      </w:r>
      <w:r w:rsidRPr="0000505C">
        <w:rPr>
          <w:rFonts w:ascii="Times New Roman" w:hAnsi="Times New Roman" w:cs="Times New Roman"/>
        </w:rPr>
        <w:t>, période de troubles</w:t>
      </w:r>
      <w:r w:rsidRPr="0000505C">
        <w:rPr>
          <w:rFonts w:ascii="Times New Roman" w:hAnsi="Times New Roman" w:cs="Times New Roman"/>
        </w:rPr>
        <w:t xml:space="preserve"> et</w:t>
      </w:r>
      <w:r w:rsidRPr="0000505C">
        <w:rPr>
          <w:rFonts w:ascii="Times New Roman" w:hAnsi="Times New Roman" w:cs="Times New Roman"/>
        </w:rPr>
        <w:t xml:space="preserve"> perte de nombreux territoires :</w:t>
      </w:r>
    </w:p>
    <w:p w:rsidR="005A2EB2" w:rsidRPr="005A2EB2" w:rsidRDefault="005A2EB2" w:rsidP="005A2EB2">
      <w:pPr>
        <w:spacing w:after="0"/>
        <w:ind w:left="708"/>
        <w:jc w:val="both"/>
        <w:rPr>
          <w:rFonts w:ascii="Times New Roman" w:hAnsi="Times New Roman" w:cs="Times New Roman"/>
          <w:sz w:val="20"/>
          <w:szCs w:val="20"/>
        </w:rPr>
      </w:pPr>
      <w:r w:rsidRPr="005A2EB2">
        <w:rPr>
          <w:rFonts w:ascii="Times New Roman" w:hAnsi="Times New Roman" w:cs="Times New Roman"/>
          <w:sz w:val="20"/>
          <w:szCs w:val="20"/>
        </w:rPr>
        <w:t>L’ordre byzantin était à peine affermi que déjà les Lombards, un des peuples germaniques restés les plus barbares, se mettaient en route pour envahir l’Italie (568). Ils s’emparent rapidement de la plaine padane et s’infiltrent dans la péninsule ; sans doute ils ne peuvent chasser Byzance, puissance maritime, de ses points d’appui : îles de Vénétie, Ravenne, Gênes, Naples ; mais ils s’installent dans l’inexpugnable dorsale montagneuse de l’Apennin : dès 570/571</w:t>
      </w:r>
      <w:r w:rsidR="0074559C">
        <w:rPr>
          <w:rFonts w:ascii="Times New Roman" w:hAnsi="Times New Roman" w:cs="Times New Roman"/>
          <w:sz w:val="20"/>
          <w:szCs w:val="20"/>
        </w:rPr>
        <w:t xml:space="preserve"> (…) </w:t>
      </w:r>
      <w:r w:rsidRPr="005A2EB2">
        <w:rPr>
          <w:rFonts w:ascii="Times New Roman" w:hAnsi="Times New Roman" w:cs="Times New Roman"/>
          <w:sz w:val="20"/>
          <w:szCs w:val="20"/>
        </w:rPr>
        <w:t>à nouveau la guerre règne à l’état chronique</w:t>
      </w:r>
      <w:r w:rsidRPr="005A2EB2">
        <w:rPr>
          <w:rStyle w:val="Appelnotedebasdep"/>
          <w:rFonts w:ascii="Times New Roman" w:hAnsi="Times New Roman" w:cs="Times New Roman"/>
          <w:sz w:val="20"/>
          <w:szCs w:val="20"/>
        </w:rPr>
        <w:footnoteReference w:id="3"/>
      </w:r>
      <w:r w:rsidRPr="005A2EB2">
        <w:rPr>
          <w:rFonts w:ascii="Times New Roman" w:hAnsi="Times New Roman" w:cs="Times New Roman"/>
          <w:sz w:val="20"/>
          <w:szCs w:val="20"/>
        </w:rPr>
        <w:t>.</w:t>
      </w:r>
    </w:p>
    <w:p w:rsidR="005A2EB2" w:rsidRPr="005A2EB2" w:rsidRDefault="005A2EB2" w:rsidP="005A2EB2">
      <w:pPr>
        <w:spacing w:after="0"/>
        <w:jc w:val="both"/>
        <w:rPr>
          <w:rFonts w:ascii="Times New Roman" w:hAnsi="Times New Roman" w:cs="Times New Roman"/>
        </w:rPr>
      </w:pPr>
      <w:r w:rsidRPr="005A2EB2">
        <w:rPr>
          <w:rFonts w:ascii="Times New Roman" w:hAnsi="Times New Roman" w:cs="Times New Roman"/>
        </w:rPr>
        <w:t xml:space="preserve">Le dictateur </w:t>
      </w:r>
      <w:proofErr w:type="spellStart"/>
      <w:r w:rsidRPr="005A2EB2">
        <w:rPr>
          <w:rFonts w:ascii="Times New Roman" w:hAnsi="Times New Roman" w:cs="Times New Roman"/>
        </w:rPr>
        <w:t>Phocas</w:t>
      </w:r>
      <w:proofErr w:type="spellEnd"/>
      <w:r w:rsidRPr="005A2EB2">
        <w:rPr>
          <w:rFonts w:ascii="Times New Roman" w:hAnsi="Times New Roman" w:cs="Times New Roman"/>
        </w:rPr>
        <w:t xml:space="preserve"> prend le pouvoir en 602</w:t>
      </w:r>
      <w:r w:rsidRPr="005A2EB2">
        <w:rPr>
          <w:rFonts w:ascii="Times New Roman" w:hAnsi="Times New Roman" w:cs="Times New Roman"/>
        </w:rPr>
        <w:t>, et est détrôné en 610 par Héraclius, couronné empereur par le patriarche Sergius (Serge). Ils collaboreront pendant un quart de siècle :</w:t>
      </w:r>
    </w:p>
    <w:p w:rsidR="005A2EB2" w:rsidRPr="005A2EB2" w:rsidRDefault="005A2EB2" w:rsidP="005A2EB2">
      <w:pPr>
        <w:spacing w:after="0"/>
        <w:ind w:left="708"/>
        <w:jc w:val="both"/>
        <w:rPr>
          <w:rFonts w:ascii="Times New Roman" w:hAnsi="Times New Roman" w:cs="Times New Roman"/>
          <w:sz w:val="20"/>
          <w:szCs w:val="20"/>
        </w:rPr>
      </w:pPr>
      <w:r w:rsidRPr="005A2EB2">
        <w:rPr>
          <w:rFonts w:ascii="Times New Roman" w:hAnsi="Times New Roman" w:cs="Times New Roman"/>
          <w:sz w:val="20"/>
          <w:szCs w:val="20"/>
        </w:rPr>
        <w:t xml:space="preserve">Héraclius était homme à se laisser abattre ; Sergius lui </w:t>
      </w:r>
      <w:proofErr w:type="gramStart"/>
      <w:r w:rsidRPr="005A2EB2">
        <w:rPr>
          <w:rFonts w:ascii="Times New Roman" w:hAnsi="Times New Roman" w:cs="Times New Roman"/>
          <w:sz w:val="20"/>
          <w:szCs w:val="20"/>
        </w:rPr>
        <w:t>redonnait</w:t>
      </w:r>
      <w:proofErr w:type="gramEnd"/>
      <w:r w:rsidRPr="005A2EB2">
        <w:rPr>
          <w:rFonts w:ascii="Times New Roman" w:hAnsi="Times New Roman" w:cs="Times New Roman"/>
          <w:sz w:val="20"/>
          <w:szCs w:val="20"/>
        </w:rPr>
        <w:t xml:space="preserve"> espoir. Héraclius héritait de finances appauvries et avait grand besoin de fonds pour organiser sa lutte contre les Perses, assurer la protection de l’Empire et reconquérir la Croix ; Sergius </w:t>
      </w:r>
      <w:proofErr w:type="gramStart"/>
      <w:r w:rsidRPr="005A2EB2">
        <w:rPr>
          <w:rFonts w:ascii="Times New Roman" w:hAnsi="Times New Roman" w:cs="Times New Roman"/>
          <w:sz w:val="20"/>
          <w:szCs w:val="20"/>
        </w:rPr>
        <w:t>mit</w:t>
      </w:r>
      <w:proofErr w:type="gramEnd"/>
      <w:r w:rsidRPr="005A2EB2">
        <w:rPr>
          <w:rFonts w:ascii="Times New Roman" w:hAnsi="Times New Roman" w:cs="Times New Roman"/>
          <w:sz w:val="20"/>
          <w:szCs w:val="20"/>
        </w:rPr>
        <w:t xml:space="preserve"> les richesses de l’Église à sa disposition. Les opérations militaires d’Héraclius contre les Perses le retenaient au loin ; Sergius, avec le prince Bonus, prit en charge la capitale et anima la résistance, finalement victorieuse, aux assauts des Avars et des Perses. Héraclius, « favorisé de la connaissance de la divine doctrine » [selon les mots de Sergius], avait à traiter, au cours de ses campagnes, avec des chefs monophysites ; Sergius lui fournissait les textes sur lesquels il pouvait s’appuyer</w:t>
      </w:r>
      <w:r w:rsidRPr="005A2EB2">
        <w:rPr>
          <w:rStyle w:val="Appelnotedebasdep"/>
          <w:rFonts w:ascii="Times New Roman" w:hAnsi="Times New Roman" w:cs="Times New Roman"/>
          <w:sz w:val="20"/>
          <w:szCs w:val="20"/>
        </w:rPr>
        <w:footnoteReference w:id="4"/>
      </w:r>
      <w:r w:rsidRPr="005A2EB2">
        <w:rPr>
          <w:rFonts w:ascii="Times New Roman" w:hAnsi="Times New Roman" w:cs="Times New Roman"/>
          <w:sz w:val="20"/>
          <w:szCs w:val="20"/>
        </w:rPr>
        <w:t>.</w:t>
      </w:r>
    </w:p>
    <w:p w:rsidR="005A2EB2" w:rsidRPr="006D0C10" w:rsidRDefault="006D0C10" w:rsidP="005A2EB2">
      <w:pPr>
        <w:spacing w:after="0"/>
        <w:jc w:val="both"/>
        <w:rPr>
          <w:rFonts w:ascii="Times New Roman" w:hAnsi="Times New Roman" w:cs="Times New Roman"/>
        </w:rPr>
      </w:pPr>
      <w:r>
        <w:rPr>
          <w:rFonts w:ascii="Times New Roman" w:hAnsi="Times New Roman" w:cs="Times New Roman"/>
        </w:rPr>
        <w:t xml:space="preserve">Victorieux des Perses en 628, Héraclius se heurte dès l’année suivante à une toute nouvelle religion très belliqueuse : l’islam. La défaite byzantine du Yarmouk devant Abu </w:t>
      </w:r>
      <w:proofErr w:type="spellStart"/>
      <w:r>
        <w:rPr>
          <w:rFonts w:ascii="Times New Roman" w:hAnsi="Times New Roman" w:cs="Times New Roman"/>
        </w:rPr>
        <w:t>Bakr</w:t>
      </w:r>
      <w:proofErr w:type="spellEnd"/>
      <w:r w:rsidR="00B00854">
        <w:rPr>
          <w:rFonts w:ascii="Times New Roman" w:hAnsi="Times New Roman" w:cs="Times New Roman"/>
        </w:rPr>
        <w:t xml:space="preserve"> (beau-père de Mahomet)</w:t>
      </w:r>
      <w:r>
        <w:rPr>
          <w:rFonts w:ascii="Times New Roman" w:hAnsi="Times New Roman" w:cs="Times New Roman"/>
        </w:rPr>
        <w:t xml:space="preserve"> en 636 sera décisive : perte définitive de la Syrie, la Palestine et bientôt l’Égypte. Les concessions aux monophysites, passés sous domination musulmane, ne seront plus d’</w:t>
      </w:r>
      <w:r w:rsidR="00B00854">
        <w:rPr>
          <w:rFonts w:ascii="Times New Roman" w:hAnsi="Times New Roman" w:cs="Times New Roman"/>
        </w:rPr>
        <w:t>actualité.</w:t>
      </w:r>
    </w:p>
    <w:p w:rsidR="005A2EB2" w:rsidRDefault="005A2EB2" w:rsidP="005A2EB2">
      <w:pPr>
        <w:spacing w:after="0"/>
        <w:ind w:left="708"/>
        <w:jc w:val="both"/>
        <w:rPr>
          <w:rFonts w:ascii="Times New Roman" w:hAnsi="Times New Roman" w:cs="Times New Roman"/>
          <w:sz w:val="20"/>
          <w:szCs w:val="20"/>
        </w:rPr>
      </w:pPr>
      <w:r w:rsidRPr="00B00854">
        <w:rPr>
          <w:rFonts w:ascii="Times New Roman" w:hAnsi="Times New Roman" w:cs="Times New Roman"/>
          <w:sz w:val="20"/>
          <w:szCs w:val="20"/>
        </w:rPr>
        <w:t>La conquête que firent les Arabes de provinces orientales de l’Empire sanctionna l’échec des tentatives que, durant les deux siècles passés, les empereurs avaient faites pour regagner les communautés monophysites et pour leur imposer l’acceptation du concile de Chalcédoine, parfois par la persécution, parfois grâce à des compromis doctrinaux</w:t>
      </w:r>
      <w:r w:rsidRPr="00B00854">
        <w:rPr>
          <w:rStyle w:val="Appelnotedebasdep"/>
          <w:rFonts w:ascii="Times New Roman" w:hAnsi="Times New Roman" w:cs="Times New Roman"/>
          <w:sz w:val="20"/>
          <w:szCs w:val="20"/>
        </w:rPr>
        <w:footnoteReference w:id="5"/>
      </w:r>
      <w:r w:rsidRPr="00B00854">
        <w:rPr>
          <w:rFonts w:ascii="Times New Roman" w:hAnsi="Times New Roman" w:cs="Times New Roman"/>
          <w:sz w:val="20"/>
          <w:szCs w:val="20"/>
        </w:rPr>
        <w:t>.</w:t>
      </w:r>
    </w:p>
    <w:p w:rsidR="005A2EB2" w:rsidRDefault="005A2EB2" w:rsidP="005A2EB2">
      <w:pPr>
        <w:spacing w:after="0"/>
        <w:jc w:val="both"/>
        <w:rPr>
          <w:rFonts w:ascii="Times New Roman" w:hAnsi="Times New Roman" w:cs="Times New Roman"/>
        </w:rPr>
      </w:pPr>
      <w:r w:rsidRPr="00B00854">
        <w:rPr>
          <w:rFonts w:ascii="Times New Roman" w:hAnsi="Times New Roman" w:cs="Times New Roman"/>
        </w:rPr>
        <w:t xml:space="preserve">Mais avant cela, nous avons une « queue de comète » du monophysisme : le </w:t>
      </w:r>
      <w:proofErr w:type="spellStart"/>
      <w:r w:rsidRPr="00B00854">
        <w:rPr>
          <w:rFonts w:ascii="Times New Roman" w:hAnsi="Times New Roman" w:cs="Times New Roman"/>
          <w:i/>
        </w:rPr>
        <w:t>monoénergisme</w:t>
      </w:r>
      <w:proofErr w:type="spellEnd"/>
      <w:r w:rsidRPr="00B00854">
        <w:rPr>
          <w:rFonts w:ascii="Times New Roman" w:hAnsi="Times New Roman" w:cs="Times New Roman"/>
        </w:rPr>
        <w:t xml:space="preserve"> (une seule « énergie » ou un seul principe d’action dans le Christ)</w:t>
      </w:r>
      <w:r w:rsidRPr="00B00854">
        <w:rPr>
          <w:rFonts w:ascii="Times New Roman" w:hAnsi="Times New Roman" w:cs="Times New Roman"/>
          <w:i/>
        </w:rPr>
        <w:t xml:space="preserve"> </w:t>
      </w:r>
      <w:r w:rsidRPr="00B00854">
        <w:rPr>
          <w:rFonts w:ascii="Times New Roman" w:hAnsi="Times New Roman" w:cs="Times New Roman"/>
        </w:rPr>
        <w:t xml:space="preserve">et le </w:t>
      </w:r>
      <w:r w:rsidRPr="00B00854">
        <w:rPr>
          <w:rFonts w:ascii="Times New Roman" w:hAnsi="Times New Roman" w:cs="Times New Roman"/>
          <w:i/>
        </w:rPr>
        <w:t xml:space="preserve">monothélisme </w:t>
      </w:r>
      <w:r w:rsidRPr="00B00854">
        <w:rPr>
          <w:rFonts w:ascii="Times New Roman" w:hAnsi="Times New Roman" w:cs="Times New Roman"/>
        </w:rPr>
        <w:t>(une seule volonté).</w:t>
      </w:r>
    </w:p>
    <w:p w:rsidR="00B00854" w:rsidRPr="00B00854" w:rsidRDefault="00B00854" w:rsidP="005A2EB2">
      <w:pPr>
        <w:spacing w:after="0"/>
        <w:jc w:val="both"/>
        <w:rPr>
          <w:rFonts w:ascii="Times New Roman" w:hAnsi="Times New Roman" w:cs="Times New Roman"/>
        </w:rPr>
      </w:pPr>
    </w:p>
    <w:p w:rsidR="005A2EB2" w:rsidRPr="00B00854" w:rsidRDefault="0000505C" w:rsidP="0000505C">
      <w:pPr>
        <w:spacing w:after="0"/>
        <w:jc w:val="center"/>
        <w:rPr>
          <w:rFonts w:ascii="Times New Roman" w:hAnsi="Times New Roman" w:cs="Times New Roman"/>
          <w:b/>
          <w:sz w:val="24"/>
          <w:szCs w:val="24"/>
        </w:rPr>
      </w:pPr>
      <w:r>
        <w:rPr>
          <w:rFonts w:ascii="Times New Roman" w:hAnsi="Times New Roman" w:cs="Times New Roman"/>
          <w:b/>
          <w:sz w:val="24"/>
          <w:szCs w:val="24"/>
        </w:rPr>
        <w:t>II</w:t>
      </w:r>
      <w:r w:rsidR="005A2EB2" w:rsidRPr="00B00854">
        <w:rPr>
          <w:rFonts w:ascii="Times New Roman" w:hAnsi="Times New Roman" w:cs="Times New Roman"/>
          <w:b/>
          <w:sz w:val="24"/>
          <w:szCs w:val="24"/>
        </w:rPr>
        <w:t>. La crise du monothélisme</w:t>
      </w:r>
    </w:p>
    <w:p w:rsidR="0074559C" w:rsidRDefault="005A2EB2" w:rsidP="005A2EB2">
      <w:pPr>
        <w:spacing w:after="0"/>
        <w:jc w:val="both"/>
        <w:rPr>
          <w:rFonts w:ascii="Times New Roman" w:hAnsi="Times New Roman" w:cs="Times New Roman"/>
          <w:b/>
        </w:rPr>
      </w:pPr>
      <w:r w:rsidRPr="00B00854">
        <w:rPr>
          <w:rFonts w:ascii="Times New Roman" w:hAnsi="Times New Roman" w:cs="Times New Roman"/>
          <w:b/>
        </w:rPr>
        <w:t>1/ L’enjeu : la liberté humaine de Jésus</w:t>
      </w:r>
    </w:p>
    <w:p w:rsidR="005A2EB2" w:rsidRPr="0074559C" w:rsidRDefault="005A2EB2" w:rsidP="005A2EB2">
      <w:pPr>
        <w:spacing w:after="0"/>
        <w:jc w:val="both"/>
        <w:rPr>
          <w:rFonts w:ascii="Times New Roman" w:hAnsi="Times New Roman" w:cs="Times New Roman"/>
          <w:b/>
        </w:rPr>
      </w:pPr>
      <w:r w:rsidRPr="00B00854">
        <w:rPr>
          <w:rFonts w:ascii="Times New Roman" w:hAnsi="Times New Roman" w:cs="Times New Roman"/>
        </w:rPr>
        <w:t>La crise du monothélisme dirige les regards vers l</w:t>
      </w:r>
      <w:r w:rsidR="00B00854">
        <w:rPr>
          <w:rFonts w:ascii="Times New Roman" w:hAnsi="Times New Roman" w:cs="Times New Roman"/>
        </w:rPr>
        <w:t xml:space="preserve">a liberté </w:t>
      </w:r>
      <w:r w:rsidRPr="00B00854">
        <w:rPr>
          <w:rFonts w:ascii="Times New Roman" w:hAnsi="Times New Roman" w:cs="Times New Roman"/>
        </w:rPr>
        <w:t xml:space="preserve">humaine de Jésus : </w:t>
      </w:r>
      <w:r w:rsidR="00B00854">
        <w:rPr>
          <w:rFonts w:ascii="Times New Roman" w:hAnsi="Times New Roman" w:cs="Times New Roman"/>
        </w:rPr>
        <w:t>« l</w:t>
      </w:r>
      <w:r w:rsidRPr="00B00854">
        <w:rPr>
          <w:rFonts w:ascii="Times New Roman" w:hAnsi="Times New Roman" w:cs="Times New Roman"/>
        </w:rPr>
        <w:t>a solution donnée [à Constantinople III] se présente comme une vérification et une interprétation de la définition de Chalcédoine à l’aide du témoignage de l’Écriture</w:t>
      </w:r>
      <w:r w:rsidRPr="00B00854">
        <w:rPr>
          <w:rStyle w:val="Appelnotedebasdep"/>
          <w:rFonts w:ascii="Times New Roman" w:hAnsi="Times New Roman" w:cs="Times New Roman"/>
        </w:rPr>
        <w:footnoteReference w:id="6"/>
      </w:r>
      <w:r w:rsidRPr="00B00854">
        <w:rPr>
          <w:rFonts w:ascii="Times New Roman" w:hAnsi="Times New Roman" w:cs="Times New Roman"/>
        </w:rPr>
        <w:t>. »</w:t>
      </w:r>
    </w:p>
    <w:p w:rsidR="005A2EB2" w:rsidRPr="00B00854" w:rsidRDefault="005A2EB2" w:rsidP="005A2EB2">
      <w:pPr>
        <w:spacing w:after="0"/>
        <w:jc w:val="both"/>
        <w:rPr>
          <w:rFonts w:ascii="Times New Roman" w:hAnsi="Times New Roman" w:cs="Times New Roman"/>
        </w:rPr>
      </w:pPr>
    </w:p>
    <w:p w:rsidR="005A2EB2" w:rsidRPr="00B00854" w:rsidRDefault="005A2EB2" w:rsidP="005A2EB2">
      <w:pPr>
        <w:spacing w:after="0"/>
        <w:jc w:val="both"/>
        <w:rPr>
          <w:rFonts w:ascii="Times New Roman" w:hAnsi="Times New Roman" w:cs="Times New Roman"/>
          <w:b/>
        </w:rPr>
      </w:pPr>
      <w:r w:rsidRPr="00B00854">
        <w:rPr>
          <w:rFonts w:ascii="Times New Roman" w:hAnsi="Times New Roman" w:cs="Times New Roman"/>
          <w:b/>
        </w:rPr>
        <w:t>2/ Le binôme Héraclius/Sergius et le concile du Latran (649)</w:t>
      </w:r>
    </w:p>
    <w:p w:rsidR="00B00854" w:rsidRDefault="005A2EB2" w:rsidP="005A2EB2">
      <w:pPr>
        <w:spacing w:after="0"/>
        <w:jc w:val="both"/>
        <w:rPr>
          <w:rFonts w:ascii="Times New Roman" w:hAnsi="Times New Roman" w:cs="Times New Roman"/>
        </w:rPr>
      </w:pPr>
      <w:r w:rsidRPr="00B00854">
        <w:rPr>
          <w:rFonts w:ascii="Times New Roman" w:hAnsi="Times New Roman" w:cs="Times New Roman"/>
        </w:rPr>
        <w:sym w:font="Wingdings 2" w:char="F0A1"/>
      </w:r>
      <w:r w:rsidRPr="00B00854">
        <w:rPr>
          <w:rFonts w:ascii="Times New Roman" w:hAnsi="Times New Roman" w:cs="Times New Roman"/>
        </w:rPr>
        <w:t xml:space="preserve"> L’empereur Héraclius était puissamment soutenu par le patriarche Serge (ou Sergius)</w:t>
      </w:r>
      <w:r w:rsidR="00B00854">
        <w:rPr>
          <w:rFonts w:ascii="Times New Roman" w:hAnsi="Times New Roman" w:cs="Times New Roman"/>
        </w:rPr>
        <w:t>.</w:t>
      </w:r>
    </w:p>
    <w:p w:rsidR="005A2EB2" w:rsidRPr="00B00854" w:rsidRDefault="005A2EB2" w:rsidP="005A2EB2">
      <w:pPr>
        <w:spacing w:after="0"/>
        <w:jc w:val="both"/>
        <w:rPr>
          <w:rFonts w:ascii="Times New Roman" w:hAnsi="Times New Roman" w:cs="Times New Roman"/>
        </w:rPr>
      </w:pPr>
      <w:r w:rsidRPr="00B00854">
        <w:rPr>
          <w:rFonts w:ascii="Times New Roman" w:hAnsi="Times New Roman" w:cs="Times New Roman"/>
        </w:rPr>
        <w:sym w:font="Wingdings 2" w:char="F0A1"/>
      </w:r>
      <w:r w:rsidRPr="00B00854">
        <w:rPr>
          <w:rFonts w:ascii="Times New Roman" w:hAnsi="Times New Roman" w:cs="Times New Roman"/>
        </w:rPr>
        <w:t xml:space="preserve"> </w:t>
      </w:r>
      <w:r w:rsidR="00B00854">
        <w:rPr>
          <w:rFonts w:ascii="Times New Roman" w:hAnsi="Times New Roman" w:cs="Times New Roman"/>
        </w:rPr>
        <w:t>C</w:t>
      </w:r>
      <w:r w:rsidRPr="00B00854">
        <w:rPr>
          <w:rFonts w:ascii="Times New Roman" w:hAnsi="Times New Roman" w:cs="Times New Roman"/>
        </w:rPr>
        <w:t>’est avant tout sur le plan théologique que Sergius déploie l’activité la plus intense</w:t>
      </w:r>
      <w:r w:rsidR="00B00854">
        <w:rPr>
          <w:rFonts w:ascii="Times New Roman" w:hAnsi="Times New Roman" w:cs="Times New Roman"/>
        </w:rPr>
        <w:t> : d</w:t>
      </w:r>
      <w:r w:rsidRPr="00B00854">
        <w:rPr>
          <w:rFonts w:ascii="Times New Roman" w:hAnsi="Times New Roman" w:cs="Times New Roman"/>
        </w:rPr>
        <w:t>ès 619, pour rallier les monophysites, il propose une doctrine « selon laquelle, après l’Incarnation, le Christ n’avait pas deux volontés ni deux « énergies » (principes d’action) – humaine et divine – mais seulement une volonté et une énergie</w:t>
      </w:r>
      <w:r w:rsidRPr="00B00854">
        <w:rPr>
          <w:rStyle w:val="Appelnotedebasdep"/>
          <w:rFonts w:ascii="Times New Roman" w:hAnsi="Times New Roman" w:cs="Times New Roman"/>
        </w:rPr>
        <w:footnoteReference w:id="7"/>
      </w:r>
      <w:r w:rsidRPr="00B00854">
        <w:rPr>
          <w:rFonts w:ascii="Times New Roman" w:hAnsi="Times New Roman" w:cs="Times New Roman"/>
        </w:rPr>
        <w:t>. » C’était un premier pas</w:t>
      </w:r>
      <w:r w:rsidR="00B00854">
        <w:rPr>
          <w:rFonts w:ascii="Times New Roman" w:hAnsi="Times New Roman" w:cs="Times New Roman"/>
        </w:rPr>
        <w:t xml:space="preserve">, et en 638 </w:t>
      </w:r>
      <w:r w:rsidRPr="00B00854">
        <w:rPr>
          <w:rFonts w:ascii="Times New Roman" w:hAnsi="Times New Roman" w:cs="Times New Roman"/>
        </w:rPr>
        <w:t xml:space="preserve">Honorius </w:t>
      </w:r>
      <w:r w:rsidR="00B00854">
        <w:rPr>
          <w:rFonts w:ascii="Times New Roman" w:hAnsi="Times New Roman" w:cs="Times New Roman"/>
        </w:rPr>
        <w:t>va plus loin</w:t>
      </w:r>
      <w:r w:rsidRPr="00B00854">
        <w:rPr>
          <w:rFonts w:ascii="Times New Roman" w:hAnsi="Times New Roman" w:cs="Times New Roman"/>
        </w:rPr>
        <w:t> :</w:t>
      </w:r>
    </w:p>
    <w:p w:rsidR="005A2EB2" w:rsidRPr="00B00854" w:rsidRDefault="005A2EB2" w:rsidP="005A2EB2">
      <w:pPr>
        <w:spacing w:after="0"/>
        <w:ind w:left="708"/>
        <w:jc w:val="both"/>
        <w:rPr>
          <w:rFonts w:ascii="Times New Roman" w:hAnsi="Times New Roman" w:cs="Times New Roman"/>
          <w:sz w:val="20"/>
          <w:szCs w:val="20"/>
        </w:rPr>
      </w:pPr>
      <w:r w:rsidRPr="00B00854">
        <w:rPr>
          <w:rFonts w:ascii="Times New Roman" w:hAnsi="Times New Roman" w:cs="Times New Roman"/>
          <w:sz w:val="20"/>
          <w:szCs w:val="20"/>
        </w:rPr>
        <w:t xml:space="preserve">Plus convaincu que jamais que, devant les invasions [musulmanes] qui menaçaient d’engloutir toutes ses provinces orientales, seule l’unité religieuse pouvait sauver l’empire, changeant de terrain théologique, il abandonna (…) le </w:t>
      </w:r>
      <w:proofErr w:type="spellStart"/>
      <w:r w:rsidRPr="00B00854">
        <w:rPr>
          <w:rFonts w:ascii="Times New Roman" w:hAnsi="Times New Roman" w:cs="Times New Roman"/>
          <w:sz w:val="20"/>
          <w:szCs w:val="20"/>
        </w:rPr>
        <w:t>monoénergisme</w:t>
      </w:r>
      <w:proofErr w:type="spellEnd"/>
      <w:r w:rsidRPr="00B00854">
        <w:rPr>
          <w:rFonts w:ascii="Times New Roman" w:hAnsi="Times New Roman" w:cs="Times New Roman"/>
          <w:sz w:val="20"/>
          <w:szCs w:val="20"/>
        </w:rPr>
        <w:t xml:space="preserve"> de plus en plus discrédité pour adopter une nouvelle doctrine qui affirmait que, bien que le Christ ait deux natures, il n’a qu’une volonté (</w:t>
      </w:r>
      <w:proofErr w:type="spellStart"/>
      <w:r w:rsidRPr="00B00854">
        <w:rPr>
          <w:rFonts w:ascii="Times New Roman" w:hAnsi="Times New Roman" w:cs="Times New Roman"/>
          <w:i/>
          <w:sz w:val="20"/>
          <w:szCs w:val="20"/>
        </w:rPr>
        <w:t>thelèma</w:t>
      </w:r>
      <w:proofErr w:type="spellEnd"/>
      <w:r w:rsidRPr="00B00854">
        <w:rPr>
          <w:rFonts w:ascii="Times New Roman" w:hAnsi="Times New Roman" w:cs="Times New Roman"/>
          <w:sz w:val="20"/>
          <w:szCs w:val="20"/>
        </w:rPr>
        <w:t>). Par un édit connu sous le titre d’</w:t>
      </w:r>
      <w:proofErr w:type="spellStart"/>
      <w:r w:rsidRPr="00B00854">
        <w:rPr>
          <w:rFonts w:ascii="Times New Roman" w:hAnsi="Times New Roman" w:cs="Times New Roman"/>
          <w:i/>
          <w:sz w:val="20"/>
          <w:szCs w:val="20"/>
        </w:rPr>
        <w:t>Echtèse</w:t>
      </w:r>
      <w:proofErr w:type="spellEnd"/>
      <w:r w:rsidRPr="00B00854">
        <w:rPr>
          <w:rFonts w:ascii="Times New Roman" w:hAnsi="Times New Roman" w:cs="Times New Roman"/>
          <w:sz w:val="20"/>
          <w:szCs w:val="20"/>
        </w:rPr>
        <w:t xml:space="preserve"> (638), l’empereur essaya d’imposer le monothélisme à toute l’Église</w:t>
      </w:r>
      <w:r w:rsidRPr="00B00854">
        <w:rPr>
          <w:rStyle w:val="Appelnotedebasdep"/>
          <w:rFonts w:ascii="Times New Roman" w:hAnsi="Times New Roman" w:cs="Times New Roman"/>
          <w:sz w:val="20"/>
          <w:szCs w:val="20"/>
        </w:rPr>
        <w:footnoteReference w:id="8"/>
      </w:r>
      <w:r w:rsidRPr="00B00854">
        <w:rPr>
          <w:rFonts w:ascii="Times New Roman" w:hAnsi="Times New Roman" w:cs="Times New Roman"/>
          <w:sz w:val="20"/>
          <w:szCs w:val="20"/>
        </w:rPr>
        <w:t>.</w:t>
      </w:r>
    </w:p>
    <w:p w:rsidR="00B00854" w:rsidRPr="00B00854" w:rsidRDefault="005A2EB2" w:rsidP="005A2EB2">
      <w:pPr>
        <w:spacing w:after="0"/>
        <w:jc w:val="both"/>
        <w:rPr>
          <w:rFonts w:ascii="Times New Roman" w:hAnsi="Times New Roman" w:cs="Times New Roman"/>
        </w:rPr>
      </w:pPr>
      <w:r w:rsidRPr="00B00854">
        <w:rPr>
          <w:rFonts w:ascii="Times New Roman" w:hAnsi="Times New Roman" w:cs="Times New Roman"/>
        </w:rPr>
        <w:sym w:font="Wingdings 2" w:char="F0A1"/>
      </w:r>
      <w:r w:rsidRPr="00B00854">
        <w:rPr>
          <w:rFonts w:ascii="Times New Roman" w:hAnsi="Times New Roman" w:cs="Times New Roman"/>
        </w:rPr>
        <w:t xml:space="preserve"> </w:t>
      </w:r>
      <w:r w:rsidR="00B00854" w:rsidRPr="00B00854">
        <w:rPr>
          <w:rFonts w:ascii="Times New Roman" w:hAnsi="Times New Roman" w:cs="Times New Roman"/>
        </w:rPr>
        <w:t xml:space="preserve">Le </w:t>
      </w:r>
      <w:r w:rsidRPr="00B00854">
        <w:rPr>
          <w:rFonts w:ascii="Times New Roman" w:hAnsi="Times New Roman" w:cs="Times New Roman"/>
        </w:rPr>
        <w:t>pape Martin 1</w:t>
      </w:r>
      <w:r w:rsidRPr="00B00854">
        <w:rPr>
          <w:rFonts w:ascii="Times New Roman" w:hAnsi="Times New Roman" w:cs="Times New Roman"/>
          <w:vertAlign w:val="superscript"/>
        </w:rPr>
        <w:t>er</w:t>
      </w:r>
      <w:r w:rsidRPr="00B00854">
        <w:rPr>
          <w:rFonts w:ascii="Times New Roman" w:hAnsi="Times New Roman" w:cs="Times New Roman"/>
        </w:rPr>
        <w:t>, élu en 649</w:t>
      </w:r>
      <w:r w:rsidR="00B00854" w:rsidRPr="00B00854">
        <w:rPr>
          <w:rFonts w:ascii="Times New Roman" w:hAnsi="Times New Roman" w:cs="Times New Roman"/>
        </w:rPr>
        <w:t xml:space="preserve">, ne transige pas avec l’hérésie (au contraire de </w:t>
      </w:r>
      <w:r w:rsidRPr="00B00854">
        <w:rPr>
          <w:rFonts w:ascii="Times New Roman" w:hAnsi="Times New Roman" w:cs="Times New Roman"/>
        </w:rPr>
        <w:t>son prédécesseur Honorius</w:t>
      </w:r>
      <w:r w:rsidR="00B00854" w:rsidRPr="00B00854">
        <w:rPr>
          <w:rFonts w:ascii="Times New Roman" w:hAnsi="Times New Roman" w:cs="Times New Roman"/>
        </w:rPr>
        <w:t xml:space="preserve">) : le concile du </w:t>
      </w:r>
      <w:r w:rsidRPr="00B00854">
        <w:rPr>
          <w:rFonts w:ascii="Times New Roman" w:hAnsi="Times New Roman" w:cs="Times New Roman"/>
        </w:rPr>
        <w:t xml:space="preserve">Latran, avec la collaboration du moine oriental Maxime, </w:t>
      </w:r>
      <w:r w:rsidR="00B00854" w:rsidRPr="00B00854">
        <w:rPr>
          <w:rFonts w:ascii="Times New Roman" w:hAnsi="Times New Roman" w:cs="Times New Roman"/>
        </w:rPr>
        <w:t>proclame :</w:t>
      </w:r>
    </w:p>
    <w:p w:rsidR="005A2EB2" w:rsidRPr="00B00854" w:rsidRDefault="005A2EB2" w:rsidP="005A2EB2">
      <w:pPr>
        <w:spacing w:after="0"/>
        <w:ind w:left="708"/>
        <w:jc w:val="both"/>
        <w:rPr>
          <w:rFonts w:ascii="Times New Roman" w:hAnsi="Times New Roman" w:cs="Times New Roman"/>
          <w:sz w:val="20"/>
          <w:szCs w:val="20"/>
        </w:rPr>
      </w:pPr>
      <w:r w:rsidRPr="00B00854">
        <w:rPr>
          <w:rFonts w:ascii="Times New Roman" w:hAnsi="Times New Roman" w:cs="Times New Roman"/>
          <w:sz w:val="20"/>
          <w:szCs w:val="20"/>
        </w:rPr>
        <w:t>De même que nous confessions [les] deux natures [du Christ] unies sans confusion ni division, de même conformément aux natures, nous affirmons deux volontés, la divine et l’humaine, ainsi que deux opérations naturelles, la divine et l’humaine, cela pour confirmer parfaitement et sans omission que le même et unique Jésus-Christ, notre Seigneur et Dieu, est vraiment par nature Dieu parfait et homme parfait – à l’exception du seul péché – et qu’ainsi il voulait et opérait en même temps divinement et humainement notre salut.</w:t>
      </w:r>
    </w:p>
    <w:p w:rsidR="005A2EB2" w:rsidRPr="00B00854" w:rsidRDefault="005A2EB2" w:rsidP="005A2EB2">
      <w:pPr>
        <w:spacing w:after="0"/>
        <w:jc w:val="both"/>
        <w:rPr>
          <w:rFonts w:ascii="Times New Roman" w:hAnsi="Times New Roman" w:cs="Times New Roman"/>
          <w:sz w:val="20"/>
          <w:szCs w:val="20"/>
        </w:rPr>
      </w:pPr>
    </w:p>
    <w:p w:rsidR="005A2EB2" w:rsidRPr="0000505C" w:rsidRDefault="005A2EB2" w:rsidP="005A2EB2">
      <w:pPr>
        <w:spacing w:after="0"/>
        <w:jc w:val="both"/>
        <w:rPr>
          <w:rFonts w:ascii="Times New Roman" w:hAnsi="Times New Roman" w:cs="Times New Roman"/>
          <w:b/>
        </w:rPr>
      </w:pPr>
      <w:r w:rsidRPr="0000505C">
        <w:rPr>
          <w:rFonts w:ascii="Times New Roman" w:hAnsi="Times New Roman" w:cs="Times New Roman"/>
          <w:b/>
        </w:rPr>
        <w:t>3/ Le martyre de Martin 1</w:t>
      </w:r>
      <w:r w:rsidRPr="0000505C">
        <w:rPr>
          <w:rFonts w:ascii="Times New Roman" w:hAnsi="Times New Roman" w:cs="Times New Roman"/>
          <w:b/>
          <w:vertAlign w:val="superscript"/>
        </w:rPr>
        <w:t>er</w:t>
      </w:r>
      <w:r w:rsidRPr="0000505C">
        <w:rPr>
          <w:rFonts w:ascii="Times New Roman" w:hAnsi="Times New Roman" w:cs="Times New Roman"/>
          <w:b/>
        </w:rPr>
        <w:t xml:space="preserve"> et de Maxime le Confesseur et le revirement de situation</w:t>
      </w:r>
    </w:p>
    <w:p w:rsidR="0000505C" w:rsidRPr="0000505C" w:rsidRDefault="005A2EB2" w:rsidP="005A2EB2">
      <w:pPr>
        <w:spacing w:after="0"/>
        <w:jc w:val="both"/>
        <w:rPr>
          <w:rFonts w:ascii="Times New Roman" w:hAnsi="Times New Roman" w:cs="Times New Roman"/>
        </w:rPr>
      </w:pPr>
      <w:r w:rsidRPr="0000505C">
        <w:rPr>
          <w:rFonts w:ascii="Times New Roman" w:hAnsi="Times New Roman" w:cs="Times New Roman"/>
        </w:rPr>
        <w:sym w:font="Wingdings 2" w:char="F0A1"/>
      </w:r>
      <w:r w:rsidRPr="0000505C">
        <w:rPr>
          <w:rFonts w:ascii="Times New Roman" w:hAnsi="Times New Roman" w:cs="Times New Roman"/>
        </w:rPr>
        <w:t xml:space="preserve"> </w:t>
      </w:r>
      <w:r w:rsidR="0000505C" w:rsidRPr="0000505C">
        <w:rPr>
          <w:rFonts w:ascii="Times New Roman" w:hAnsi="Times New Roman" w:cs="Times New Roman"/>
        </w:rPr>
        <w:t>Martyre et mort de saint Martin 1</w:t>
      </w:r>
      <w:r w:rsidR="0000505C" w:rsidRPr="0000505C">
        <w:rPr>
          <w:rFonts w:ascii="Times New Roman" w:hAnsi="Times New Roman" w:cs="Times New Roman"/>
          <w:vertAlign w:val="superscript"/>
        </w:rPr>
        <w:t>er</w:t>
      </w:r>
      <w:r w:rsidR="0000505C" w:rsidRPr="0000505C">
        <w:rPr>
          <w:rFonts w:ascii="Times New Roman" w:hAnsi="Times New Roman" w:cs="Times New Roman"/>
        </w:rPr>
        <w:t xml:space="preserve"> (655 ou 656). </w:t>
      </w:r>
      <w:proofErr w:type="spellStart"/>
      <w:r w:rsidR="0000505C" w:rsidRPr="0000505C">
        <w:rPr>
          <w:rFonts w:ascii="Times New Roman" w:hAnsi="Times New Roman" w:cs="Times New Roman"/>
        </w:rPr>
        <w:t>Maryre</w:t>
      </w:r>
      <w:proofErr w:type="spellEnd"/>
      <w:r w:rsidR="0000505C">
        <w:rPr>
          <w:rFonts w:ascii="Times New Roman" w:hAnsi="Times New Roman" w:cs="Times New Roman"/>
        </w:rPr>
        <w:t xml:space="preserve"> et mort</w:t>
      </w:r>
      <w:r w:rsidR="0000505C" w:rsidRPr="0000505C">
        <w:rPr>
          <w:rFonts w:ascii="Times New Roman" w:hAnsi="Times New Roman" w:cs="Times New Roman"/>
        </w:rPr>
        <w:t xml:space="preserve"> de saint Maxime (</w:t>
      </w:r>
      <w:r w:rsidR="0000505C" w:rsidRPr="0000505C">
        <w:rPr>
          <w:rFonts w:ascii="Arial" w:hAnsi="Arial" w:cs="Arial"/>
        </w:rPr>
        <w:t>†</w:t>
      </w:r>
      <w:r w:rsidR="0000505C" w:rsidRPr="0000505C">
        <w:rPr>
          <w:rFonts w:ascii="Times New Roman" w:hAnsi="Times New Roman" w:cs="Times New Roman"/>
        </w:rPr>
        <w:t xml:space="preserve"> 662).</w:t>
      </w:r>
    </w:p>
    <w:p w:rsidR="0000505C" w:rsidRDefault="005A2EB2" w:rsidP="005A2EB2">
      <w:pPr>
        <w:spacing w:after="0"/>
        <w:jc w:val="both"/>
        <w:rPr>
          <w:rFonts w:ascii="Times New Roman" w:hAnsi="Times New Roman" w:cs="Times New Roman"/>
        </w:rPr>
      </w:pPr>
      <w:r w:rsidRPr="0000505C">
        <w:rPr>
          <w:rFonts w:ascii="Times New Roman" w:hAnsi="Times New Roman" w:cs="Times New Roman"/>
        </w:rPr>
        <w:sym w:font="Wingdings 2" w:char="F0A1"/>
      </w:r>
      <w:r w:rsidRPr="0000505C">
        <w:rPr>
          <w:rFonts w:ascii="Times New Roman" w:hAnsi="Times New Roman" w:cs="Times New Roman"/>
        </w:rPr>
        <w:t xml:space="preserve"> Constantin IV</w:t>
      </w:r>
      <w:r w:rsidR="0000505C" w:rsidRPr="0000505C">
        <w:rPr>
          <w:rFonts w:ascii="Times New Roman" w:hAnsi="Times New Roman" w:cs="Times New Roman"/>
        </w:rPr>
        <w:t xml:space="preserve"> change d’attitude : d’accord avec le pape </w:t>
      </w:r>
      <w:proofErr w:type="spellStart"/>
      <w:r w:rsidR="0000505C" w:rsidRPr="0000505C">
        <w:rPr>
          <w:rFonts w:ascii="Times New Roman" w:hAnsi="Times New Roman" w:cs="Times New Roman"/>
        </w:rPr>
        <w:t>Agathon</w:t>
      </w:r>
      <w:proofErr w:type="spellEnd"/>
      <w:r w:rsidR="0000505C" w:rsidRPr="0000505C">
        <w:rPr>
          <w:rFonts w:ascii="Times New Roman" w:hAnsi="Times New Roman" w:cs="Times New Roman"/>
        </w:rPr>
        <w:t>, il convoque un concile.</w:t>
      </w:r>
    </w:p>
    <w:p w:rsidR="0000505C" w:rsidRPr="0000505C" w:rsidRDefault="0000505C" w:rsidP="005A2EB2">
      <w:pPr>
        <w:spacing w:after="0"/>
        <w:jc w:val="both"/>
        <w:rPr>
          <w:rFonts w:ascii="Times New Roman" w:hAnsi="Times New Roman" w:cs="Times New Roman"/>
        </w:rPr>
      </w:pPr>
    </w:p>
    <w:p w:rsidR="005A2EB2" w:rsidRPr="0000505C" w:rsidRDefault="0074559C" w:rsidP="0074559C">
      <w:pPr>
        <w:spacing w:after="0"/>
        <w:jc w:val="center"/>
        <w:rPr>
          <w:rFonts w:ascii="Times New Roman" w:hAnsi="Times New Roman" w:cs="Times New Roman"/>
          <w:b/>
          <w:sz w:val="24"/>
          <w:szCs w:val="24"/>
        </w:rPr>
      </w:pPr>
      <w:r>
        <w:rPr>
          <w:rFonts w:ascii="Times New Roman" w:hAnsi="Times New Roman" w:cs="Times New Roman"/>
          <w:b/>
          <w:sz w:val="24"/>
          <w:szCs w:val="24"/>
        </w:rPr>
        <w:t>III</w:t>
      </w:r>
      <w:r w:rsidR="005A2EB2" w:rsidRPr="0000505C">
        <w:rPr>
          <w:rFonts w:ascii="Times New Roman" w:hAnsi="Times New Roman" w:cs="Times New Roman"/>
          <w:b/>
          <w:sz w:val="24"/>
          <w:szCs w:val="24"/>
        </w:rPr>
        <w:t xml:space="preserve">. </w:t>
      </w:r>
      <w:r w:rsidR="0000505C">
        <w:rPr>
          <w:rFonts w:ascii="Times New Roman" w:hAnsi="Times New Roman" w:cs="Times New Roman"/>
          <w:b/>
          <w:sz w:val="24"/>
          <w:szCs w:val="24"/>
        </w:rPr>
        <w:t xml:space="preserve">Le concile de </w:t>
      </w:r>
      <w:r w:rsidR="005A2EB2" w:rsidRPr="0000505C">
        <w:rPr>
          <w:rFonts w:ascii="Times New Roman" w:hAnsi="Times New Roman" w:cs="Times New Roman"/>
          <w:b/>
          <w:sz w:val="24"/>
          <w:szCs w:val="24"/>
        </w:rPr>
        <w:t>Constantinople III</w:t>
      </w:r>
      <w:r w:rsidR="0000505C">
        <w:rPr>
          <w:rFonts w:ascii="Times New Roman" w:hAnsi="Times New Roman" w:cs="Times New Roman"/>
          <w:b/>
          <w:sz w:val="24"/>
          <w:szCs w:val="24"/>
        </w:rPr>
        <w:t>, dit « in trullo »</w:t>
      </w:r>
      <w:r w:rsidR="0000505C" w:rsidRPr="0000505C">
        <w:rPr>
          <w:rFonts w:ascii="Times New Roman" w:hAnsi="Times New Roman" w:cs="Times New Roman"/>
          <w:b/>
          <w:sz w:val="24"/>
          <w:szCs w:val="24"/>
        </w:rPr>
        <w:t>, 6</w:t>
      </w:r>
      <w:r w:rsidR="0000505C" w:rsidRPr="0000505C">
        <w:rPr>
          <w:rFonts w:ascii="Times New Roman" w:hAnsi="Times New Roman" w:cs="Times New Roman"/>
          <w:b/>
          <w:sz w:val="24"/>
          <w:szCs w:val="24"/>
          <w:vertAlign w:val="superscript"/>
        </w:rPr>
        <w:t>e</w:t>
      </w:r>
      <w:r w:rsidR="0000505C" w:rsidRPr="0000505C">
        <w:rPr>
          <w:rFonts w:ascii="Times New Roman" w:hAnsi="Times New Roman" w:cs="Times New Roman"/>
          <w:b/>
          <w:sz w:val="24"/>
          <w:szCs w:val="24"/>
        </w:rPr>
        <w:t xml:space="preserve"> œcuménique</w:t>
      </w:r>
    </w:p>
    <w:p w:rsidR="005A2EB2" w:rsidRPr="0000505C" w:rsidRDefault="005A2EB2" w:rsidP="005A2EB2">
      <w:pPr>
        <w:spacing w:after="0"/>
        <w:jc w:val="both"/>
        <w:rPr>
          <w:rFonts w:ascii="Times New Roman" w:hAnsi="Times New Roman" w:cs="Times New Roman"/>
          <w:b/>
        </w:rPr>
      </w:pPr>
      <w:r w:rsidRPr="0000505C">
        <w:rPr>
          <w:rFonts w:ascii="Times New Roman" w:hAnsi="Times New Roman" w:cs="Times New Roman"/>
          <w:b/>
        </w:rPr>
        <w:t>1/ Constantinople III, une suite de Chalcédoine</w:t>
      </w:r>
    </w:p>
    <w:p w:rsidR="0000505C" w:rsidRDefault="005A2EB2" w:rsidP="005A2EB2">
      <w:pPr>
        <w:spacing w:after="0"/>
        <w:jc w:val="both"/>
        <w:rPr>
          <w:rFonts w:ascii="Times New Roman" w:hAnsi="Times New Roman" w:cs="Times New Roman"/>
          <w:i/>
        </w:rPr>
      </w:pPr>
      <w:r w:rsidRPr="0000505C">
        <w:rPr>
          <w:rFonts w:ascii="Times New Roman" w:hAnsi="Times New Roman" w:cs="Times New Roman"/>
        </w:rPr>
        <w:sym w:font="Wingdings 2" w:char="F0A1"/>
      </w:r>
      <w:r w:rsidRPr="0000505C">
        <w:rPr>
          <w:rFonts w:ascii="Times New Roman" w:hAnsi="Times New Roman" w:cs="Times New Roman"/>
        </w:rPr>
        <w:t xml:space="preserve"> </w:t>
      </w:r>
      <w:r w:rsidR="0000505C">
        <w:rPr>
          <w:rFonts w:ascii="Times New Roman" w:hAnsi="Times New Roman" w:cs="Times New Roman"/>
        </w:rPr>
        <w:t>P</w:t>
      </w:r>
      <w:r w:rsidRPr="0000505C">
        <w:rPr>
          <w:rFonts w:ascii="Times New Roman" w:hAnsi="Times New Roman" w:cs="Times New Roman"/>
        </w:rPr>
        <w:t>arallélisme entre ses affirmations et celles de Chalcédoine : si le Christ a deux natures, il a nécessairement deux volontés et deux « opérations », c’est-à-dire deux actions concrètes unies « sans confusion ni séparation ». L’enjeu</w:t>
      </w:r>
      <w:r w:rsidR="0000505C">
        <w:rPr>
          <w:rFonts w:ascii="Times New Roman" w:hAnsi="Times New Roman" w:cs="Times New Roman"/>
        </w:rPr>
        <w:t xml:space="preserve"> est de reconnaître en lui </w:t>
      </w:r>
      <w:r w:rsidRPr="0000505C">
        <w:rPr>
          <w:rFonts w:ascii="Times New Roman" w:hAnsi="Times New Roman" w:cs="Times New Roman"/>
        </w:rPr>
        <w:t xml:space="preserve">une </w:t>
      </w:r>
      <w:r w:rsidRPr="0000505C">
        <w:rPr>
          <w:rFonts w:ascii="Times New Roman" w:hAnsi="Times New Roman" w:cs="Times New Roman"/>
          <w:i/>
        </w:rPr>
        <w:t>volonté</w:t>
      </w:r>
      <w:r w:rsidR="0000505C">
        <w:rPr>
          <w:rFonts w:ascii="Times New Roman" w:hAnsi="Times New Roman" w:cs="Times New Roman"/>
        </w:rPr>
        <w:t xml:space="preserve"> et une </w:t>
      </w:r>
      <w:r w:rsidR="0000505C">
        <w:rPr>
          <w:rFonts w:ascii="Times New Roman" w:hAnsi="Times New Roman" w:cs="Times New Roman"/>
          <w:i/>
        </w:rPr>
        <w:t>liberté</w:t>
      </w:r>
      <w:r w:rsidRPr="0000505C">
        <w:rPr>
          <w:rFonts w:ascii="Times New Roman" w:hAnsi="Times New Roman" w:cs="Times New Roman"/>
          <w:i/>
        </w:rPr>
        <w:t xml:space="preserve"> humaine</w:t>
      </w:r>
      <w:r w:rsidR="0000505C">
        <w:rPr>
          <w:rFonts w:ascii="Times New Roman" w:hAnsi="Times New Roman" w:cs="Times New Roman"/>
          <w:i/>
        </w:rPr>
        <w:t>s.</w:t>
      </w:r>
    </w:p>
    <w:p w:rsidR="005A2EB2" w:rsidRPr="0000505C" w:rsidRDefault="005A2EB2" w:rsidP="005A2EB2">
      <w:pPr>
        <w:spacing w:after="0"/>
        <w:ind w:left="708"/>
        <w:jc w:val="both"/>
        <w:rPr>
          <w:rFonts w:ascii="Times New Roman" w:hAnsi="Times New Roman" w:cs="Times New Roman"/>
          <w:sz w:val="20"/>
          <w:szCs w:val="20"/>
        </w:rPr>
      </w:pPr>
      <w:r w:rsidRPr="0000505C">
        <w:rPr>
          <w:rFonts w:ascii="Times New Roman" w:hAnsi="Times New Roman" w:cs="Times New Roman"/>
          <w:sz w:val="20"/>
          <w:szCs w:val="20"/>
        </w:rPr>
        <w:t xml:space="preserve">Puisque l’activité de Jésus était celle du Verbe de Dieu en personne, on oubliait qu’elle était aussi celle du Verbe de Dieu </w:t>
      </w:r>
      <w:r w:rsidRPr="0000505C">
        <w:rPr>
          <w:rFonts w:ascii="Times New Roman" w:hAnsi="Times New Roman" w:cs="Times New Roman"/>
          <w:i/>
          <w:sz w:val="20"/>
          <w:szCs w:val="20"/>
        </w:rPr>
        <w:t>incarné</w:t>
      </w:r>
      <w:r w:rsidRPr="0000505C">
        <w:rPr>
          <w:rFonts w:ascii="Times New Roman" w:hAnsi="Times New Roman" w:cs="Times New Roman"/>
          <w:sz w:val="20"/>
          <w:szCs w:val="20"/>
        </w:rPr>
        <w:t xml:space="preserve">, agissant en homme volontaire et libre. Aussi les engagements et les choix de Jésus étaient-ils compris comme des actes </w:t>
      </w:r>
      <w:r w:rsidRPr="0000505C">
        <w:rPr>
          <w:rFonts w:ascii="Times New Roman" w:hAnsi="Times New Roman" w:cs="Times New Roman"/>
          <w:i/>
          <w:sz w:val="20"/>
          <w:szCs w:val="20"/>
        </w:rPr>
        <w:t>immédiatement divins</w:t>
      </w:r>
      <w:r w:rsidRPr="0000505C">
        <w:rPr>
          <w:rFonts w:ascii="Times New Roman" w:hAnsi="Times New Roman" w:cs="Times New Roman"/>
          <w:sz w:val="20"/>
          <w:szCs w:val="20"/>
        </w:rPr>
        <w:t>, c’est-à-dire réalisés par le principe d’action de la nature divine. Mais alors la parole d’abandon de Jésus en croix et la scène de l’agonie perdent toute réalité</w:t>
      </w:r>
      <w:r w:rsidRPr="0000505C">
        <w:rPr>
          <w:rStyle w:val="Appelnotedebasdep"/>
          <w:rFonts w:ascii="Times New Roman" w:hAnsi="Times New Roman" w:cs="Times New Roman"/>
          <w:sz w:val="20"/>
          <w:szCs w:val="20"/>
        </w:rPr>
        <w:footnoteReference w:id="9"/>
      </w:r>
      <w:r w:rsidRPr="0000505C">
        <w:rPr>
          <w:rFonts w:ascii="Times New Roman" w:hAnsi="Times New Roman" w:cs="Times New Roman"/>
          <w:sz w:val="20"/>
          <w:szCs w:val="20"/>
        </w:rPr>
        <w:t>.</w:t>
      </w:r>
    </w:p>
    <w:p w:rsidR="0074559C" w:rsidRPr="0074559C" w:rsidRDefault="005A2EB2" w:rsidP="005A2EB2">
      <w:pPr>
        <w:spacing w:after="0"/>
        <w:jc w:val="both"/>
        <w:rPr>
          <w:rFonts w:ascii="Times New Roman" w:hAnsi="Times New Roman" w:cs="Times New Roman"/>
        </w:rPr>
      </w:pPr>
      <w:r w:rsidRPr="0074559C">
        <w:rPr>
          <w:rFonts w:ascii="Times New Roman" w:hAnsi="Times New Roman" w:cs="Times New Roman"/>
        </w:rPr>
        <w:sym w:font="Wingdings 2" w:char="F0A1"/>
      </w:r>
      <w:r w:rsidRPr="0074559C">
        <w:rPr>
          <w:rFonts w:ascii="Times New Roman" w:hAnsi="Times New Roman" w:cs="Times New Roman"/>
        </w:rPr>
        <w:t xml:space="preserve"> Deux </w:t>
      </w:r>
      <w:r w:rsidR="0000505C" w:rsidRPr="0074559C">
        <w:rPr>
          <w:rFonts w:ascii="Times New Roman" w:hAnsi="Times New Roman" w:cs="Times New Roman"/>
        </w:rPr>
        <w:t>textes-clef :</w:t>
      </w:r>
    </w:p>
    <w:p w:rsidR="0074559C" w:rsidRPr="0074559C" w:rsidRDefault="0074559C" w:rsidP="005A2EB2">
      <w:pPr>
        <w:spacing w:after="0"/>
        <w:jc w:val="both"/>
        <w:rPr>
          <w:rFonts w:ascii="Times New Roman" w:hAnsi="Times New Roman" w:cs="Times New Roman"/>
          <w:sz w:val="20"/>
          <w:szCs w:val="20"/>
        </w:rPr>
      </w:pPr>
      <w:r w:rsidRPr="0074559C">
        <w:rPr>
          <w:rFonts w:ascii="Times New Roman" w:hAnsi="Times New Roman" w:cs="Times New Roman"/>
          <w:i/>
          <w:sz w:val="20"/>
          <w:szCs w:val="20"/>
        </w:rPr>
        <w:sym w:font="Wingdings 2" w:char="F0A0"/>
      </w:r>
      <w:r w:rsidRPr="0074559C">
        <w:rPr>
          <w:rFonts w:ascii="Times New Roman" w:hAnsi="Times New Roman" w:cs="Times New Roman"/>
          <w:i/>
          <w:sz w:val="20"/>
          <w:szCs w:val="20"/>
        </w:rPr>
        <w:t xml:space="preserve"> </w:t>
      </w:r>
      <w:r w:rsidR="005A2EB2" w:rsidRPr="0074559C">
        <w:rPr>
          <w:rFonts w:ascii="Times New Roman" w:hAnsi="Times New Roman" w:cs="Times New Roman"/>
          <w:i/>
          <w:sz w:val="20"/>
          <w:szCs w:val="20"/>
        </w:rPr>
        <w:t xml:space="preserve">Jean </w:t>
      </w:r>
      <w:r w:rsidR="005A2EB2" w:rsidRPr="0074559C">
        <w:rPr>
          <w:rFonts w:ascii="Times New Roman" w:hAnsi="Times New Roman" w:cs="Times New Roman"/>
          <w:sz w:val="20"/>
          <w:szCs w:val="20"/>
        </w:rPr>
        <w:t>6, 38</w:t>
      </w:r>
      <w:r w:rsidR="0000505C" w:rsidRPr="0074559C">
        <w:rPr>
          <w:rFonts w:ascii="Times New Roman" w:hAnsi="Times New Roman" w:cs="Times New Roman"/>
          <w:sz w:val="20"/>
          <w:szCs w:val="20"/>
        </w:rPr>
        <w:t xml:space="preserve"> (</w:t>
      </w:r>
      <w:r w:rsidR="005A2EB2" w:rsidRPr="0074559C">
        <w:rPr>
          <w:rFonts w:ascii="Times New Roman" w:hAnsi="Times New Roman" w:cs="Times New Roman"/>
          <w:sz w:val="20"/>
          <w:szCs w:val="20"/>
        </w:rPr>
        <w:t>« </w:t>
      </w:r>
      <w:r w:rsidRPr="0074559C">
        <w:rPr>
          <w:rFonts w:ascii="Times New Roman" w:hAnsi="Times New Roman" w:cs="Times New Roman"/>
          <w:i/>
          <w:sz w:val="20"/>
          <w:szCs w:val="20"/>
        </w:rPr>
        <w:t>J</w:t>
      </w:r>
      <w:r w:rsidR="005A2EB2" w:rsidRPr="0074559C">
        <w:rPr>
          <w:rFonts w:ascii="Times New Roman" w:hAnsi="Times New Roman" w:cs="Times New Roman"/>
          <w:i/>
          <w:sz w:val="20"/>
          <w:szCs w:val="20"/>
        </w:rPr>
        <w:t>e ne suis pas descendu du ciel pour faire ma volonté, mais la volonté de Celui qui m’a envoyé</w:t>
      </w:r>
      <w:r w:rsidR="005A2EB2" w:rsidRPr="0074559C">
        <w:rPr>
          <w:rFonts w:ascii="Times New Roman" w:hAnsi="Times New Roman" w:cs="Times New Roman"/>
          <w:sz w:val="20"/>
          <w:szCs w:val="20"/>
        </w:rPr>
        <w:t> »</w:t>
      </w:r>
      <w:r>
        <w:rPr>
          <w:rFonts w:ascii="Times New Roman" w:hAnsi="Times New Roman" w:cs="Times New Roman"/>
          <w:sz w:val="20"/>
          <w:szCs w:val="20"/>
        </w:rPr>
        <w:t>)</w:t>
      </w:r>
      <w:r w:rsidRPr="0074559C">
        <w:rPr>
          <w:rFonts w:ascii="Times New Roman" w:hAnsi="Times New Roman" w:cs="Times New Roman"/>
          <w:sz w:val="20"/>
          <w:szCs w:val="20"/>
        </w:rPr>
        <w:t xml:space="preserve"> Jésus vit sa vie humaine dans l’</w:t>
      </w:r>
      <w:r w:rsidRPr="0074559C">
        <w:rPr>
          <w:rFonts w:ascii="Times New Roman" w:hAnsi="Times New Roman" w:cs="Times New Roman"/>
          <w:i/>
          <w:sz w:val="20"/>
          <w:szCs w:val="20"/>
        </w:rPr>
        <w:t>obéissance</w:t>
      </w:r>
      <w:r w:rsidRPr="0074559C">
        <w:rPr>
          <w:rFonts w:ascii="Times New Roman" w:hAnsi="Times New Roman" w:cs="Times New Roman"/>
          <w:sz w:val="20"/>
          <w:szCs w:val="20"/>
        </w:rPr>
        <w:t xml:space="preserve"> au Père.</w:t>
      </w:r>
    </w:p>
    <w:p w:rsidR="0074559C" w:rsidRPr="0074559C" w:rsidRDefault="0074559C" w:rsidP="005A2EB2">
      <w:pPr>
        <w:spacing w:after="0"/>
        <w:jc w:val="both"/>
        <w:rPr>
          <w:rFonts w:ascii="Times New Roman" w:hAnsi="Times New Roman" w:cs="Times New Roman"/>
          <w:sz w:val="20"/>
          <w:szCs w:val="20"/>
        </w:rPr>
      </w:pPr>
      <w:r w:rsidRPr="0074559C">
        <w:rPr>
          <w:rFonts w:ascii="Times New Roman" w:hAnsi="Times New Roman" w:cs="Times New Roman"/>
          <w:i/>
          <w:sz w:val="20"/>
          <w:szCs w:val="20"/>
        </w:rPr>
        <w:sym w:font="Wingdings 2" w:char="F0A0"/>
      </w:r>
      <w:r w:rsidRPr="0074559C">
        <w:rPr>
          <w:rFonts w:ascii="Times New Roman" w:hAnsi="Times New Roman" w:cs="Times New Roman"/>
          <w:i/>
          <w:sz w:val="20"/>
          <w:szCs w:val="20"/>
        </w:rPr>
        <w:t xml:space="preserve"> Matthieu </w:t>
      </w:r>
      <w:r w:rsidRPr="0074559C">
        <w:rPr>
          <w:rFonts w:ascii="Times New Roman" w:hAnsi="Times New Roman" w:cs="Times New Roman"/>
          <w:sz w:val="20"/>
          <w:szCs w:val="20"/>
        </w:rPr>
        <w:t>26, 39 (</w:t>
      </w:r>
      <w:r w:rsidR="005A2EB2" w:rsidRPr="0074559C">
        <w:rPr>
          <w:rFonts w:ascii="Times New Roman" w:hAnsi="Times New Roman" w:cs="Times New Roman"/>
          <w:sz w:val="20"/>
          <w:szCs w:val="20"/>
        </w:rPr>
        <w:t>« </w:t>
      </w:r>
      <w:r w:rsidR="005A2EB2" w:rsidRPr="0074559C">
        <w:rPr>
          <w:rFonts w:ascii="Times New Roman" w:hAnsi="Times New Roman" w:cs="Times New Roman"/>
          <w:i/>
          <w:sz w:val="20"/>
          <w:szCs w:val="20"/>
        </w:rPr>
        <w:t>Mon Père, s’il est possible, que cette coupe passe loin de moi !</w:t>
      </w:r>
      <w:r w:rsidRPr="0074559C">
        <w:rPr>
          <w:rFonts w:ascii="Times New Roman" w:hAnsi="Times New Roman" w:cs="Times New Roman"/>
          <w:i/>
          <w:sz w:val="20"/>
          <w:szCs w:val="20"/>
        </w:rPr>
        <w:t xml:space="preserve"> C</w:t>
      </w:r>
      <w:r w:rsidR="005A2EB2" w:rsidRPr="0074559C">
        <w:rPr>
          <w:rFonts w:ascii="Times New Roman" w:hAnsi="Times New Roman" w:cs="Times New Roman"/>
          <w:i/>
          <w:sz w:val="20"/>
          <w:szCs w:val="20"/>
        </w:rPr>
        <w:t>ependant, non pas comme je veux, mais comme tu veux</w:t>
      </w:r>
      <w:r w:rsidR="005A2EB2" w:rsidRPr="0074559C">
        <w:rPr>
          <w:rFonts w:ascii="Times New Roman" w:hAnsi="Times New Roman" w:cs="Times New Roman"/>
          <w:sz w:val="20"/>
          <w:szCs w:val="20"/>
        </w:rPr>
        <w:t> »</w:t>
      </w:r>
      <w:r>
        <w:rPr>
          <w:rFonts w:ascii="Times New Roman" w:hAnsi="Times New Roman" w:cs="Times New Roman"/>
          <w:sz w:val="20"/>
          <w:szCs w:val="20"/>
        </w:rPr>
        <w:t>)</w:t>
      </w:r>
      <w:r w:rsidR="005A2EB2" w:rsidRPr="0074559C">
        <w:rPr>
          <w:rFonts w:ascii="Times New Roman" w:hAnsi="Times New Roman" w:cs="Times New Roman"/>
          <w:sz w:val="20"/>
          <w:szCs w:val="20"/>
        </w:rPr>
        <w:t>.</w:t>
      </w:r>
    </w:p>
    <w:p w:rsidR="005A2EB2" w:rsidRPr="0074559C" w:rsidRDefault="005A2EB2" w:rsidP="005A2EB2">
      <w:pPr>
        <w:spacing w:after="0"/>
        <w:jc w:val="both"/>
        <w:rPr>
          <w:rFonts w:ascii="Times New Roman" w:hAnsi="Times New Roman" w:cs="Times New Roman"/>
          <w:sz w:val="20"/>
          <w:szCs w:val="20"/>
        </w:rPr>
      </w:pPr>
    </w:p>
    <w:p w:rsidR="005A2EB2" w:rsidRPr="0074559C" w:rsidRDefault="005A2EB2" w:rsidP="005A2EB2">
      <w:pPr>
        <w:spacing w:after="0"/>
        <w:jc w:val="both"/>
        <w:rPr>
          <w:rFonts w:ascii="Times New Roman" w:hAnsi="Times New Roman" w:cs="Times New Roman"/>
          <w:b/>
        </w:rPr>
      </w:pPr>
      <w:r w:rsidRPr="0074559C">
        <w:rPr>
          <w:rFonts w:ascii="Times New Roman" w:hAnsi="Times New Roman" w:cs="Times New Roman"/>
          <w:b/>
        </w:rPr>
        <w:t>2/ La définition de Constantinople III</w:t>
      </w:r>
      <w:r w:rsidR="0074559C">
        <w:rPr>
          <w:rFonts w:ascii="Times New Roman" w:hAnsi="Times New Roman" w:cs="Times New Roman"/>
          <w:b/>
        </w:rPr>
        <w:t>, « récapitulation de tout le dogme christologique »</w:t>
      </w:r>
    </w:p>
    <w:p w:rsidR="005A2EB2" w:rsidRPr="0074559C" w:rsidRDefault="005A2EB2" w:rsidP="005A2EB2">
      <w:pPr>
        <w:spacing w:after="0"/>
        <w:ind w:left="708"/>
        <w:jc w:val="both"/>
        <w:rPr>
          <w:rFonts w:ascii="Times New Roman" w:hAnsi="Times New Roman" w:cs="Times New Roman"/>
          <w:sz w:val="20"/>
          <w:szCs w:val="20"/>
        </w:rPr>
      </w:pPr>
      <w:r w:rsidRPr="0074559C">
        <w:rPr>
          <w:rFonts w:ascii="Times New Roman" w:hAnsi="Times New Roman" w:cs="Times New Roman"/>
          <w:sz w:val="20"/>
          <w:szCs w:val="20"/>
        </w:rPr>
        <w:t xml:space="preserve">Conservant totalement ce qui est sans confusion ni séparation, nous proclamons le tout en une parole concise : croyant que l’un de la sainte Trinité est, après l’incarnation, notre Seigneur Jésus-Christ, notre vrai Dieu, nous disons qu’il a deux natures, rayonnant dans son unique hypostase (= personne). En elle (= sa personne), tout au long de son existence incarnée, il a manifesté ses souffrances et ses miracles, non pas en apparence, mais en vérité. La différence des natures en cette même et unique hypostase est reconnue à ce que </w:t>
      </w:r>
      <w:r w:rsidRPr="0074559C">
        <w:rPr>
          <w:rFonts w:ascii="Times New Roman" w:hAnsi="Times New Roman" w:cs="Times New Roman"/>
          <w:i/>
          <w:sz w:val="20"/>
          <w:szCs w:val="20"/>
        </w:rPr>
        <w:t xml:space="preserve">l’une et l’autre veut et opère ce qui lui est propre en communion avec l’autre. </w:t>
      </w:r>
      <w:r w:rsidRPr="0074559C">
        <w:rPr>
          <w:rFonts w:ascii="Times New Roman" w:hAnsi="Times New Roman" w:cs="Times New Roman"/>
          <w:sz w:val="20"/>
          <w:szCs w:val="20"/>
        </w:rPr>
        <w:t>Ainsi, nous proclamons deux volontés et deux opérations naturelles concourant ensemble au salut du genre humain</w:t>
      </w:r>
      <w:r w:rsidRPr="0074559C">
        <w:rPr>
          <w:rStyle w:val="Appelnotedebasdep"/>
          <w:rFonts w:ascii="Times New Roman" w:hAnsi="Times New Roman" w:cs="Times New Roman"/>
          <w:sz w:val="20"/>
          <w:szCs w:val="20"/>
        </w:rPr>
        <w:footnoteReference w:id="10"/>
      </w:r>
      <w:r w:rsidRPr="0074559C">
        <w:rPr>
          <w:rFonts w:ascii="Times New Roman" w:hAnsi="Times New Roman" w:cs="Times New Roman"/>
          <w:sz w:val="20"/>
          <w:szCs w:val="20"/>
        </w:rPr>
        <w:t>.</w:t>
      </w:r>
    </w:p>
    <w:p w:rsidR="005A2EB2" w:rsidRPr="00BE20F1" w:rsidRDefault="0074559C" w:rsidP="005A2EB2">
      <w:pPr>
        <w:spacing w:after="0"/>
        <w:jc w:val="both"/>
        <w:rPr>
          <w:rFonts w:ascii="Times New Roman" w:hAnsi="Times New Roman" w:cs="Times New Roman"/>
        </w:rPr>
      </w:pPr>
      <w:r>
        <w:rPr>
          <w:rFonts w:ascii="Times New Roman" w:hAnsi="Times New Roman" w:cs="Times New Roman"/>
        </w:rPr>
        <w:t xml:space="preserve">Ainsi est intégré le </w:t>
      </w:r>
      <w:r w:rsidR="005A2EB2">
        <w:rPr>
          <w:rFonts w:ascii="Times New Roman" w:hAnsi="Times New Roman" w:cs="Times New Roman"/>
        </w:rPr>
        <w:t>point de vue de l’histoire</w:t>
      </w:r>
      <w:r>
        <w:rPr>
          <w:rFonts w:ascii="Times New Roman" w:hAnsi="Times New Roman" w:cs="Times New Roman"/>
        </w:rPr>
        <w:t xml:space="preserve"> : un </w:t>
      </w:r>
      <w:r>
        <w:rPr>
          <w:rFonts w:ascii="Times New Roman" w:hAnsi="Times New Roman" w:cs="Times New Roman"/>
          <w:i/>
        </w:rPr>
        <w:t>travail</w:t>
      </w:r>
      <w:r>
        <w:rPr>
          <w:rFonts w:ascii="Times New Roman" w:hAnsi="Times New Roman" w:cs="Times New Roman"/>
        </w:rPr>
        <w:t xml:space="preserve"> à accomplir pour ajuster </w:t>
      </w:r>
      <w:r w:rsidR="00BE20F1">
        <w:rPr>
          <w:rFonts w:ascii="Times New Roman" w:hAnsi="Times New Roman" w:cs="Times New Roman"/>
        </w:rPr>
        <w:t xml:space="preserve">sa volonté à la volonté de Dieu. Le mot « agonie » signifie « combat » - pour </w:t>
      </w:r>
      <w:r w:rsidR="00BE20F1">
        <w:rPr>
          <w:rFonts w:ascii="Times New Roman" w:hAnsi="Times New Roman" w:cs="Times New Roman"/>
          <w:i/>
        </w:rPr>
        <w:t xml:space="preserve">vivre dans le temps un « oui » prononcé dans l’instant. </w:t>
      </w:r>
      <w:r w:rsidR="00BE20F1">
        <w:rPr>
          <w:rFonts w:ascii="Times New Roman" w:hAnsi="Times New Roman" w:cs="Times New Roman"/>
        </w:rPr>
        <w:t xml:space="preserve">C’est aussi notre difficulté ! Mais </w:t>
      </w:r>
      <w:r w:rsidR="00BE20F1" w:rsidRPr="00BE20F1">
        <w:rPr>
          <w:rFonts w:ascii="Times New Roman" w:hAnsi="Times New Roman" w:cs="Times New Roman"/>
        </w:rPr>
        <w:t xml:space="preserve">Jésus fait de la parole « que ta volonté soit faite » une parole </w:t>
      </w:r>
      <w:r w:rsidR="00BE20F1" w:rsidRPr="00BE20F1">
        <w:rPr>
          <w:rFonts w:ascii="Times New Roman" w:hAnsi="Times New Roman" w:cs="Times New Roman"/>
          <w:i/>
        </w:rPr>
        <w:t>filiale </w:t>
      </w:r>
      <w:r w:rsidR="00BE20F1" w:rsidRPr="00BE20F1">
        <w:rPr>
          <w:rFonts w:ascii="Times New Roman" w:hAnsi="Times New Roman" w:cs="Times New Roman"/>
        </w:rPr>
        <w:t xml:space="preserve">: </w:t>
      </w:r>
      <w:r w:rsidR="005A2EB2" w:rsidRPr="00BE20F1">
        <w:rPr>
          <w:rFonts w:ascii="Times New Roman" w:hAnsi="Times New Roman" w:cs="Times New Roman"/>
        </w:rPr>
        <w:t xml:space="preserve">« il se constitue humainement comme Fils à travers son histoire ». </w:t>
      </w:r>
      <w:r w:rsidR="00BE20F1">
        <w:rPr>
          <w:rFonts w:ascii="Times New Roman" w:hAnsi="Times New Roman" w:cs="Times New Roman"/>
        </w:rPr>
        <w:t xml:space="preserve">Et </w:t>
      </w:r>
      <w:r w:rsidR="005A2EB2" w:rsidRPr="00BE20F1">
        <w:rPr>
          <w:rFonts w:ascii="Times New Roman" w:hAnsi="Times New Roman" w:cs="Times New Roman"/>
        </w:rPr>
        <w:t>« </w:t>
      </w:r>
      <w:r w:rsidR="00BE20F1">
        <w:rPr>
          <w:rFonts w:ascii="Times New Roman" w:hAnsi="Times New Roman" w:cs="Times New Roman"/>
        </w:rPr>
        <w:t>d</w:t>
      </w:r>
      <w:r w:rsidR="005A2EB2" w:rsidRPr="00BE20F1">
        <w:rPr>
          <w:rFonts w:ascii="Times New Roman" w:hAnsi="Times New Roman" w:cs="Times New Roman"/>
        </w:rPr>
        <w:t>ans la grâce, notre liberté est le pouvoir de réaliser notre filiation adoptive »</w:t>
      </w:r>
      <w:r w:rsidR="005A2EB2" w:rsidRPr="00BE20F1">
        <w:rPr>
          <w:rStyle w:val="Appelnotedebasdep"/>
          <w:rFonts w:ascii="Times New Roman" w:hAnsi="Times New Roman" w:cs="Times New Roman"/>
        </w:rPr>
        <w:footnoteReference w:id="11"/>
      </w:r>
      <w:r w:rsidR="005A2EB2" w:rsidRPr="00BE20F1">
        <w:rPr>
          <w:rFonts w:ascii="Times New Roman" w:hAnsi="Times New Roman" w:cs="Times New Roman"/>
        </w:rPr>
        <w:t>.</w:t>
      </w:r>
    </w:p>
    <w:p w:rsidR="005A2EB2" w:rsidRDefault="005A2EB2" w:rsidP="005A2EB2">
      <w:pPr>
        <w:spacing w:after="0"/>
        <w:rPr>
          <w:rFonts w:ascii="Times New Roman" w:hAnsi="Times New Roman" w:cs="Times New Roman"/>
          <w:sz w:val="24"/>
          <w:szCs w:val="24"/>
        </w:rPr>
      </w:pPr>
      <w:bookmarkStart w:id="0" w:name="_GoBack"/>
      <w:bookmarkEnd w:id="0"/>
    </w:p>
    <w:p w:rsidR="005A2EB2" w:rsidRDefault="005A2EB2" w:rsidP="005A2EB2">
      <w:pPr>
        <w:spacing w:after="0"/>
        <w:rPr>
          <w:rFonts w:ascii="Times New Roman" w:hAnsi="Times New Roman" w:cs="Times New Roman"/>
          <w:sz w:val="24"/>
          <w:szCs w:val="24"/>
        </w:rPr>
      </w:pPr>
    </w:p>
    <w:p w:rsidR="005A2EB2" w:rsidRDefault="005A2EB2" w:rsidP="005A2EB2"/>
    <w:p w:rsidR="00122797" w:rsidRDefault="00122797"/>
    <w:sectPr w:rsidR="00122797" w:rsidSect="00DB692E">
      <w:pgSz w:w="11906" w:h="16838"/>
      <w:pgMar w:top="851"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EB2" w:rsidRDefault="005A2EB2" w:rsidP="005A2EB2">
      <w:pPr>
        <w:spacing w:after="0"/>
      </w:pPr>
      <w:r>
        <w:separator/>
      </w:r>
    </w:p>
  </w:endnote>
  <w:endnote w:type="continuationSeparator" w:id="0">
    <w:p w:rsidR="005A2EB2" w:rsidRDefault="005A2EB2" w:rsidP="005A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EB2" w:rsidRDefault="005A2EB2" w:rsidP="005A2EB2">
      <w:pPr>
        <w:spacing w:after="0"/>
      </w:pPr>
      <w:r>
        <w:separator/>
      </w:r>
    </w:p>
  </w:footnote>
  <w:footnote w:type="continuationSeparator" w:id="0">
    <w:p w:rsidR="005A2EB2" w:rsidRDefault="005A2EB2" w:rsidP="005A2EB2">
      <w:pPr>
        <w:spacing w:after="0"/>
      </w:pPr>
      <w:r>
        <w:continuationSeparator/>
      </w:r>
    </w:p>
  </w:footnote>
  <w:footnote w:id="1">
    <w:p w:rsidR="005A2EB2" w:rsidRPr="007F2BF7" w:rsidRDefault="005A2EB2" w:rsidP="005A2EB2">
      <w:pPr>
        <w:pStyle w:val="Notedebasdepage"/>
        <w:rPr>
          <w:i/>
        </w:rPr>
      </w:pPr>
      <w:r>
        <w:rPr>
          <w:rStyle w:val="Appelnotedebasdep"/>
        </w:rPr>
        <w:footnoteRef/>
      </w:r>
      <w:r>
        <w:t xml:space="preserve"> B. </w:t>
      </w:r>
      <w:proofErr w:type="spellStart"/>
      <w:r w:rsidRPr="00C41D44">
        <w:rPr>
          <w:smallCaps/>
        </w:rPr>
        <w:t>Sesboüé</w:t>
      </w:r>
      <w:proofErr w:type="spellEnd"/>
      <w:r>
        <w:t xml:space="preserve">, </w:t>
      </w:r>
      <w:r w:rsidRPr="00C41D44">
        <w:rPr>
          <w:i/>
          <w:iCs/>
        </w:rPr>
        <w:t>JTE</w:t>
      </w:r>
      <w:r>
        <w:t>, p. 158.</w:t>
      </w:r>
    </w:p>
  </w:footnote>
  <w:footnote w:id="2">
    <w:p w:rsidR="005A2EB2" w:rsidRDefault="005A2EB2" w:rsidP="005A2EB2">
      <w:pPr>
        <w:pStyle w:val="Notedebasdepage"/>
      </w:pPr>
      <w:r>
        <w:rPr>
          <w:rStyle w:val="Appelnotedebasdep"/>
        </w:rPr>
        <w:footnoteRef/>
      </w:r>
      <w:r>
        <w:t xml:space="preserve"> D. </w:t>
      </w:r>
      <w:proofErr w:type="spellStart"/>
      <w:r w:rsidRPr="00537D00">
        <w:rPr>
          <w:smallCaps/>
        </w:rPr>
        <w:t>Obolensky</w:t>
      </w:r>
      <w:proofErr w:type="spellEnd"/>
      <w:r>
        <w:t xml:space="preserve">, </w:t>
      </w:r>
      <w:r>
        <w:rPr>
          <w:i/>
        </w:rPr>
        <w:t xml:space="preserve">op. </w:t>
      </w:r>
      <w:proofErr w:type="spellStart"/>
      <w:proofErr w:type="gramStart"/>
      <w:r>
        <w:rPr>
          <w:i/>
        </w:rPr>
        <w:t>cit</w:t>
      </w:r>
      <w:proofErr w:type="spellEnd"/>
      <w:proofErr w:type="gramEnd"/>
      <w:r>
        <w:rPr>
          <w:i/>
        </w:rPr>
        <w:t>.</w:t>
      </w:r>
      <w:r>
        <w:rPr>
          <w:rFonts w:cstheme="minorHAnsi"/>
        </w:rPr>
        <w:t>, p. 104-105.</w:t>
      </w:r>
    </w:p>
  </w:footnote>
  <w:footnote w:id="3">
    <w:p w:rsidR="005A2EB2" w:rsidRDefault="005A2EB2" w:rsidP="005A2EB2">
      <w:pPr>
        <w:pStyle w:val="Notedebasdepage"/>
      </w:pPr>
      <w:r>
        <w:rPr>
          <w:rStyle w:val="Appelnotedebasdep"/>
        </w:rPr>
        <w:footnoteRef/>
      </w:r>
      <w:r>
        <w:t xml:space="preserve"> </w:t>
      </w:r>
      <w:r w:rsidRPr="00420DF2">
        <w:rPr>
          <w:rFonts w:cstheme="minorHAnsi"/>
        </w:rPr>
        <w:t xml:space="preserve">Jean </w:t>
      </w:r>
      <w:r w:rsidRPr="00420DF2">
        <w:rPr>
          <w:rFonts w:cstheme="minorHAnsi"/>
          <w:smallCaps/>
        </w:rPr>
        <w:t>Daniélou</w:t>
      </w:r>
      <w:r>
        <w:rPr>
          <w:rFonts w:cstheme="minorHAnsi"/>
        </w:rPr>
        <w:t xml:space="preserve"> et Henri-Irénée </w:t>
      </w:r>
      <w:r w:rsidRPr="00420DF2">
        <w:rPr>
          <w:rFonts w:cstheme="minorHAnsi"/>
          <w:smallCaps/>
        </w:rPr>
        <w:t>Marrou</w:t>
      </w:r>
      <w:r>
        <w:rPr>
          <w:rFonts w:cstheme="minorHAnsi"/>
        </w:rPr>
        <w:t xml:space="preserve">, </w:t>
      </w:r>
      <w:r w:rsidRPr="00420DF2">
        <w:rPr>
          <w:rFonts w:cstheme="minorHAnsi"/>
          <w:i/>
        </w:rPr>
        <w:t>Nouvelle histoire de l’Église</w:t>
      </w:r>
      <w:r>
        <w:rPr>
          <w:rFonts w:cstheme="minorHAnsi"/>
        </w:rPr>
        <w:t xml:space="preserve">, Seuil 1963 : </w:t>
      </w:r>
      <w:r w:rsidRPr="00420DF2">
        <w:rPr>
          <w:rFonts w:cstheme="minorHAnsi"/>
        </w:rPr>
        <w:t>t. 1</w:t>
      </w:r>
      <w:r>
        <w:rPr>
          <w:rFonts w:cstheme="minorHAnsi"/>
        </w:rPr>
        <w:t xml:space="preserve"> (</w:t>
      </w:r>
      <w:r w:rsidRPr="00420DF2">
        <w:rPr>
          <w:rFonts w:cstheme="minorHAnsi"/>
          <w:i/>
        </w:rPr>
        <w:t>Des origines à Grégoire le Grand</w:t>
      </w:r>
      <w:r>
        <w:rPr>
          <w:rFonts w:cstheme="minorHAnsi"/>
        </w:rPr>
        <w:t>) IIe partie, II (Cinquième et sixième siècles), chapitre 13, p. 491.</w:t>
      </w:r>
    </w:p>
  </w:footnote>
  <w:footnote w:id="4">
    <w:p w:rsidR="005A2EB2" w:rsidRDefault="005A2EB2" w:rsidP="005A2EB2">
      <w:pPr>
        <w:pStyle w:val="Notedebasdepage"/>
        <w:jc w:val="both"/>
      </w:pPr>
      <w:r>
        <w:rPr>
          <w:rStyle w:val="Appelnotedebasdep"/>
        </w:rPr>
        <w:footnoteRef/>
      </w:r>
      <w:r>
        <w:t xml:space="preserve"> F.-X. </w:t>
      </w:r>
      <w:r w:rsidRPr="00375E29">
        <w:rPr>
          <w:smallCaps/>
        </w:rPr>
        <w:t>Murphy</w:t>
      </w:r>
      <w:r>
        <w:t xml:space="preserve"> et P. </w:t>
      </w:r>
      <w:r w:rsidRPr="00375E29">
        <w:rPr>
          <w:smallCaps/>
        </w:rPr>
        <w:t>Sherwood</w:t>
      </w:r>
      <w:r>
        <w:t xml:space="preserve">, </w:t>
      </w:r>
      <w:r>
        <w:rPr>
          <w:i/>
        </w:rPr>
        <w:t>Constantinople II et Constantinople III</w:t>
      </w:r>
      <w:r>
        <w:t xml:space="preserve">, dans </w:t>
      </w:r>
      <w:r>
        <w:rPr>
          <w:i/>
        </w:rPr>
        <w:t>Histoire des conciles œcuméniques</w:t>
      </w:r>
      <w:r>
        <w:t xml:space="preserve"> tome 3, Orante 1974, p. 137.</w:t>
      </w:r>
    </w:p>
  </w:footnote>
  <w:footnote w:id="5">
    <w:p w:rsidR="005A2EB2" w:rsidRDefault="005A2EB2" w:rsidP="005A2EB2">
      <w:pPr>
        <w:pStyle w:val="Notedebasdepage"/>
      </w:pPr>
      <w:r>
        <w:rPr>
          <w:rStyle w:val="Appelnotedebasdep"/>
        </w:rPr>
        <w:footnoteRef/>
      </w:r>
      <w:r>
        <w:t xml:space="preserve"> D. </w:t>
      </w:r>
      <w:proofErr w:type="spellStart"/>
      <w:r w:rsidRPr="00537D00">
        <w:rPr>
          <w:smallCaps/>
        </w:rPr>
        <w:t>Obolensky</w:t>
      </w:r>
      <w:proofErr w:type="spellEnd"/>
      <w:r>
        <w:t xml:space="preserve">, </w:t>
      </w:r>
      <w:r>
        <w:rPr>
          <w:i/>
        </w:rPr>
        <w:t xml:space="preserve">op. </w:t>
      </w:r>
      <w:proofErr w:type="spellStart"/>
      <w:proofErr w:type="gramStart"/>
      <w:r>
        <w:rPr>
          <w:i/>
        </w:rPr>
        <w:t>cit</w:t>
      </w:r>
      <w:proofErr w:type="spellEnd"/>
      <w:proofErr w:type="gramEnd"/>
      <w:r>
        <w:rPr>
          <w:i/>
        </w:rPr>
        <w:t>.</w:t>
      </w:r>
      <w:r>
        <w:rPr>
          <w:rFonts w:cstheme="minorHAnsi"/>
        </w:rPr>
        <w:t>, p. 104-105.</w:t>
      </w:r>
    </w:p>
  </w:footnote>
  <w:footnote w:id="6">
    <w:p w:rsidR="005A2EB2" w:rsidRDefault="005A2EB2" w:rsidP="005A2EB2">
      <w:pPr>
        <w:pStyle w:val="Notedebasdepage"/>
      </w:pPr>
      <w:r>
        <w:rPr>
          <w:rStyle w:val="Appelnotedebasdep"/>
        </w:rPr>
        <w:footnoteRef/>
      </w:r>
      <w:r>
        <w:t xml:space="preserve"> B. </w:t>
      </w:r>
      <w:proofErr w:type="spellStart"/>
      <w:r w:rsidRPr="00C41D44">
        <w:rPr>
          <w:smallCaps/>
        </w:rPr>
        <w:t>Sesboüé</w:t>
      </w:r>
      <w:proofErr w:type="spellEnd"/>
      <w:r>
        <w:t xml:space="preserve">, </w:t>
      </w:r>
      <w:r w:rsidRPr="00C41D44">
        <w:rPr>
          <w:i/>
          <w:iCs/>
        </w:rPr>
        <w:t>JTE</w:t>
      </w:r>
      <w:r>
        <w:t>, p. 167.</w:t>
      </w:r>
    </w:p>
  </w:footnote>
  <w:footnote w:id="7">
    <w:p w:rsidR="005A2EB2" w:rsidRDefault="005A2EB2" w:rsidP="005A2EB2">
      <w:pPr>
        <w:pStyle w:val="Notedebasdepage"/>
      </w:pPr>
      <w:r>
        <w:rPr>
          <w:rStyle w:val="Appelnotedebasdep"/>
        </w:rPr>
        <w:footnoteRef/>
      </w:r>
      <w:r>
        <w:t xml:space="preserve"> Francis </w:t>
      </w:r>
      <w:proofErr w:type="spellStart"/>
      <w:r w:rsidRPr="003640D0">
        <w:rPr>
          <w:smallCaps/>
        </w:rPr>
        <w:t>Dvornik</w:t>
      </w:r>
      <w:proofErr w:type="spellEnd"/>
      <w:r>
        <w:t xml:space="preserve">, </w:t>
      </w:r>
      <w:r>
        <w:rPr>
          <w:i/>
        </w:rPr>
        <w:t>Histoire des conciles de Nicée à Vatican II</w:t>
      </w:r>
      <w:r>
        <w:t>, p. 40.</w:t>
      </w:r>
    </w:p>
  </w:footnote>
  <w:footnote w:id="8">
    <w:p w:rsidR="005A2EB2" w:rsidRDefault="005A2EB2" w:rsidP="005A2EB2">
      <w:pPr>
        <w:pStyle w:val="Notedebasdepage"/>
        <w:jc w:val="both"/>
      </w:pPr>
      <w:r>
        <w:rPr>
          <w:rStyle w:val="Appelnotedebasdep"/>
        </w:rPr>
        <w:footnoteRef/>
      </w:r>
      <w:r>
        <w:t xml:space="preserve"> D. </w:t>
      </w:r>
      <w:proofErr w:type="spellStart"/>
      <w:r w:rsidRPr="00537D00">
        <w:rPr>
          <w:smallCaps/>
        </w:rPr>
        <w:t>Obolensky</w:t>
      </w:r>
      <w:proofErr w:type="spellEnd"/>
      <w:r>
        <w:t xml:space="preserve">, </w:t>
      </w:r>
      <w:r w:rsidRPr="00420DF2">
        <w:rPr>
          <w:rFonts w:cstheme="minorHAnsi"/>
          <w:i/>
        </w:rPr>
        <w:t>Nouvelle histoire de l’Église</w:t>
      </w:r>
      <w:r>
        <w:rPr>
          <w:rFonts w:cstheme="minorHAnsi"/>
        </w:rPr>
        <w:t xml:space="preserve">, Seuil 1968 : </w:t>
      </w:r>
      <w:r w:rsidRPr="00420DF2">
        <w:rPr>
          <w:rFonts w:cstheme="minorHAnsi"/>
        </w:rPr>
        <w:t xml:space="preserve">t. </w:t>
      </w:r>
      <w:r>
        <w:rPr>
          <w:rFonts w:cstheme="minorHAnsi"/>
        </w:rPr>
        <w:t>2 (</w:t>
      </w:r>
      <w:r>
        <w:rPr>
          <w:rFonts w:cstheme="minorHAnsi"/>
          <w:i/>
        </w:rPr>
        <w:t>Le Moyen Âge</w:t>
      </w:r>
      <w:r>
        <w:rPr>
          <w:rFonts w:cstheme="minorHAnsi"/>
        </w:rPr>
        <w:t>) 1</w:t>
      </w:r>
      <w:r w:rsidRPr="00537D00">
        <w:rPr>
          <w:rFonts w:cstheme="minorHAnsi"/>
          <w:vertAlign w:val="superscript"/>
        </w:rPr>
        <w:t>ère</w:t>
      </w:r>
      <w:r>
        <w:rPr>
          <w:rFonts w:cstheme="minorHAnsi"/>
        </w:rPr>
        <w:t xml:space="preserve"> partie, chapitre 7 (« L’</w:t>
      </w:r>
      <w:r>
        <w:rPr>
          <w:rFonts w:ascii="Times New Roman" w:hAnsi="Times New Roman" w:cs="Times New Roman"/>
        </w:rPr>
        <w:t>É</w:t>
      </w:r>
      <w:r>
        <w:rPr>
          <w:rFonts w:cstheme="minorHAnsi"/>
        </w:rPr>
        <w:t>glise byzantine »), p. 105.</w:t>
      </w:r>
    </w:p>
  </w:footnote>
  <w:footnote w:id="9">
    <w:p w:rsidR="005A2EB2" w:rsidRDefault="005A2EB2" w:rsidP="005A2EB2">
      <w:pPr>
        <w:pStyle w:val="Notedebasdepage"/>
      </w:pPr>
      <w:r>
        <w:rPr>
          <w:rStyle w:val="Appelnotedebasdep"/>
        </w:rPr>
        <w:footnoteRef/>
      </w:r>
      <w:r>
        <w:t xml:space="preserve"> B. </w:t>
      </w:r>
      <w:proofErr w:type="spellStart"/>
      <w:r w:rsidRPr="00C41D44">
        <w:rPr>
          <w:smallCaps/>
        </w:rPr>
        <w:t>Sesboüé</w:t>
      </w:r>
      <w:proofErr w:type="spellEnd"/>
      <w:r>
        <w:t xml:space="preserve">, </w:t>
      </w:r>
      <w:r w:rsidRPr="00C41D44">
        <w:rPr>
          <w:i/>
          <w:iCs/>
        </w:rPr>
        <w:t>JTE</w:t>
      </w:r>
      <w:r>
        <w:t>, p. 174.</w:t>
      </w:r>
    </w:p>
  </w:footnote>
  <w:footnote w:id="10">
    <w:p w:rsidR="005A2EB2" w:rsidRPr="00AD06CE" w:rsidRDefault="005A2EB2" w:rsidP="005A2EB2">
      <w:pPr>
        <w:pStyle w:val="Notedebasdepage"/>
      </w:pPr>
      <w:r>
        <w:rPr>
          <w:rStyle w:val="Appelnotedebasdep"/>
        </w:rPr>
        <w:footnoteRef/>
      </w:r>
      <w:r>
        <w:t xml:space="preserve"> </w:t>
      </w:r>
      <w:r>
        <w:rPr>
          <w:i/>
        </w:rPr>
        <w:t>FC</w:t>
      </w:r>
      <w:r>
        <w:t xml:space="preserve"> 360.</w:t>
      </w:r>
    </w:p>
  </w:footnote>
  <w:footnote w:id="11">
    <w:p w:rsidR="005A2EB2" w:rsidRDefault="005A2EB2" w:rsidP="005A2EB2">
      <w:pPr>
        <w:pStyle w:val="Notedebasdepage"/>
      </w:pPr>
      <w:r>
        <w:rPr>
          <w:rStyle w:val="Appelnotedebasdep"/>
        </w:rPr>
        <w:footnoteRef/>
      </w:r>
      <w:r>
        <w:t xml:space="preserve"> B. </w:t>
      </w:r>
      <w:proofErr w:type="spellStart"/>
      <w:r w:rsidRPr="00C41D44">
        <w:rPr>
          <w:smallCaps/>
        </w:rPr>
        <w:t>Sesboüé</w:t>
      </w:r>
      <w:proofErr w:type="spellEnd"/>
      <w:r>
        <w:t xml:space="preserve">, </w:t>
      </w:r>
      <w:r w:rsidRPr="00C41D44">
        <w:rPr>
          <w:i/>
          <w:iCs/>
        </w:rPr>
        <w:t>JTE</w:t>
      </w:r>
      <w:r>
        <w:t>, p. 1</w:t>
      </w:r>
      <w:r w:rsidR="00BE20F1">
        <w:t>76-177.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B2"/>
    <w:rsid w:val="0000505C"/>
    <w:rsid w:val="00122797"/>
    <w:rsid w:val="005A2EB2"/>
    <w:rsid w:val="006D0C10"/>
    <w:rsid w:val="0074559C"/>
    <w:rsid w:val="00B00854"/>
    <w:rsid w:val="00BE20F1"/>
    <w:rsid w:val="00DB692E"/>
    <w:rsid w:val="00F27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CEF3"/>
  <w15:chartTrackingRefBased/>
  <w15:docId w15:val="{AFB7A77E-96CC-4BCE-BDD4-942D8E69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B2"/>
    <w:pPr>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A2EB2"/>
    <w:pPr>
      <w:spacing w:after="0"/>
    </w:pPr>
    <w:rPr>
      <w:sz w:val="20"/>
      <w:szCs w:val="20"/>
    </w:rPr>
  </w:style>
  <w:style w:type="character" w:customStyle="1" w:styleId="NotedebasdepageCar">
    <w:name w:val="Note de bas de page Car"/>
    <w:basedOn w:val="Policepardfaut"/>
    <w:link w:val="Notedebasdepage"/>
    <w:uiPriority w:val="99"/>
    <w:rsid w:val="005A2EB2"/>
    <w:rPr>
      <w:sz w:val="20"/>
      <w:szCs w:val="20"/>
    </w:rPr>
  </w:style>
  <w:style w:type="character" w:styleId="Appelnotedebasdep">
    <w:name w:val="footnote reference"/>
    <w:basedOn w:val="Policepardfaut"/>
    <w:semiHidden/>
    <w:unhideWhenUsed/>
    <w:rsid w:val="005A2EB2"/>
    <w:rPr>
      <w:vertAlign w:val="superscript"/>
    </w:rPr>
  </w:style>
  <w:style w:type="paragraph" w:styleId="Titre">
    <w:name w:val="Title"/>
    <w:basedOn w:val="Normal"/>
    <w:next w:val="Normal"/>
    <w:link w:val="TitreCar"/>
    <w:uiPriority w:val="10"/>
    <w:qFormat/>
    <w:rsid w:val="005A2EB2"/>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E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1367</Words>
  <Characters>7522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BATUT</dc:creator>
  <cp:keywords/>
  <dc:description/>
  <cp:lastModifiedBy>Jean-Pierre BATUT</cp:lastModifiedBy>
  <cp:revision>1</cp:revision>
  <dcterms:created xsi:type="dcterms:W3CDTF">2026-04-14T09:12:00Z</dcterms:created>
  <dcterms:modified xsi:type="dcterms:W3CDTF">2026-04-14T12:44:00Z</dcterms:modified>
</cp:coreProperties>
</file>